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87" w:rsidRPr="006670EB" w:rsidRDefault="00030EEE" w:rsidP="00D7464B">
      <w:pPr>
        <w:pStyle w:val="1CoverPageEMRC"/>
        <w:spacing w:before="360"/>
      </w:pPr>
      <w:bookmarkStart w:id="0" w:name="_GoBack"/>
      <w:bookmarkEnd w:id="0"/>
      <w:r>
        <w:t xml:space="preserve">Council Policy </w:t>
      </w:r>
      <w:r w:rsidR="005B2C61">
        <w:t>3</w:t>
      </w:r>
      <w:r w:rsidR="007C646F">
        <w:t>.</w:t>
      </w:r>
      <w:r w:rsidR="005B2C61">
        <w:t>3</w:t>
      </w:r>
    </w:p>
    <w:p w:rsidR="005B2C61" w:rsidRDefault="005B2C61" w:rsidP="006670EB">
      <w:pPr>
        <w:pStyle w:val="3CoverPageTitle"/>
        <w:rPr>
          <w:color w:val="313253" w:themeColor="accent5"/>
          <w:sz w:val="36"/>
          <w:szCs w:val="36"/>
        </w:rPr>
      </w:pPr>
      <w:r w:rsidRPr="005B2C61">
        <w:rPr>
          <w:color w:val="313253" w:themeColor="accent5"/>
          <w:sz w:val="36"/>
          <w:szCs w:val="36"/>
        </w:rPr>
        <w:t>Management of Investments Policy</w:t>
      </w:r>
    </w:p>
    <w:p w:rsidR="006670EB" w:rsidRPr="006670EB" w:rsidRDefault="00030EEE" w:rsidP="006670EB">
      <w:pPr>
        <w:pStyle w:val="3CoverPageTitle"/>
      </w:pPr>
      <w:r w:rsidRPr="00030EEE">
        <w:t>Strategic Plan Objective</w:t>
      </w:r>
    </w:p>
    <w:p w:rsidR="005B2C61" w:rsidRPr="005B2C61" w:rsidRDefault="005B2C61" w:rsidP="005B2C61">
      <w:pPr>
        <w:spacing w:after="240"/>
        <w:jc w:val="left"/>
        <w:rPr>
          <w:rFonts w:eastAsia="Times New Roman" w:cs="Times New Roman"/>
          <w:lang w:val="en-US"/>
        </w:rPr>
      </w:pPr>
      <w:r w:rsidRPr="005B2C61">
        <w:rPr>
          <w:rFonts w:eastAsia="Times New Roman" w:cs="Times New Roman"/>
        </w:rPr>
        <w:t>3.4</w:t>
      </w:r>
      <w:r w:rsidRPr="005B2C61">
        <w:rPr>
          <w:rFonts w:eastAsia="Times New Roman" w:cs="Times New Roman"/>
        </w:rPr>
        <w:tab/>
        <w:t>To continue to improve financial and asset management practices.</w:t>
      </w:r>
    </w:p>
    <w:p w:rsidR="006670EB" w:rsidRDefault="006670EB" w:rsidP="00F94EDC">
      <w:pPr>
        <w:pStyle w:val="3CoverPageTitle"/>
      </w:pPr>
      <w:r>
        <w:t>Purpose</w:t>
      </w:r>
    </w:p>
    <w:p w:rsidR="005B2C61" w:rsidRPr="005B2C61" w:rsidRDefault="005B2C61" w:rsidP="005B2C61">
      <w:pPr>
        <w:tabs>
          <w:tab w:val="num" w:pos="567"/>
        </w:tabs>
        <w:rPr>
          <w:rFonts w:eastAsia="Times New Roman" w:cs="Arial"/>
        </w:rPr>
      </w:pPr>
      <w:r w:rsidRPr="005B2C61">
        <w:rPr>
          <w:rFonts w:eastAsia="Times New Roman" w:cs="Arial"/>
        </w:rPr>
        <w:t xml:space="preserve">To provide for the investment of EMRC’s surplus funds at the most favourable rate of return whilst ensuring prudent consideration of risk and security for the investment type and that liquidity requirements are being met. </w:t>
      </w:r>
    </w:p>
    <w:p w:rsidR="005B2C61" w:rsidRPr="005B2C61" w:rsidRDefault="005B2C61" w:rsidP="005B2C61">
      <w:pPr>
        <w:tabs>
          <w:tab w:val="num" w:pos="567"/>
        </w:tabs>
        <w:rPr>
          <w:rFonts w:eastAsia="Times New Roman" w:cs="Arial"/>
        </w:rPr>
      </w:pPr>
    </w:p>
    <w:p w:rsidR="005B2C61" w:rsidRPr="005B2C61" w:rsidRDefault="005B2C61" w:rsidP="005B2C61">
      <w:pPr>
        <w:tabs>
          <w:tab w:val="num" w:pos="567"/>
        </w:tabs>
        <w:rPr>
          <w:rFonts w:eastAsia="Times New Roman" w:cs="Arial"/>
        </w:rPr>
      </w:pPr>
      <w:r w:rsidRPr="005B2C61">
        <w:rPr>
          <w:rFonts w:eastAsia="Times New Roman" w:cs="Arial"/>
        </w:rPr>
        <w:t>To ensure that investments are managed with care, diligence and skill and that the management of the portfolio is carried out to safeguard the portfolio and not for speculative purposes.</w:t>
      </w:r>
    </w:p>
    <w:p w:rsidR="005B2C61" w:rsidRPr="005B2C61" w:rsidRDefault="005B2C61" w:rsidP="005B2C61">
      <w:pPr>
        <w:tabs>
          <w:tab w:val="num" w:pos="567"/>
        </w:tabs>
        <w:rPr>
          <w:rFonts w:eastAsia="Times New Roman" w:cs="Arial"/>
        </w:rPr>
      </w:pPr>
    </w:p>
    <w:p w:rsidR="005B2C61" w:rsidRPr="005B2C61" w:rsidRDefault="005B2C61" w:rsidP="005B2C61">
      <w:pPr>
        <w:tabs>
          <w:tab w:val="num" w:pos="567"/>
        </w:tabs>
        <w:rPr>
          <w:rFonts w:eastAsia="Times New Roman" w:cs="Arial"/>
        </w:rPr>
      </w:pPr>
      <w:r w:rsidRPr="005B2C61">
        <w:rPr>
          <w:rFonts w:eastAsia="Times New Roman" w:cs="Arial"/>
        </w:rPr>
        <w:t>Establish guidelines to ensure investments:</w:t>
      </w:r>
    </w:p>
    <w:p w:rsidR="005B2C61" w:rsidRPr="005B2C61" w:rsidRDefault="005B2C61" w:rsidP="005B2C61">
      <w:pPr>
        <w:tabs>
          <w:tab w:val="num" w:pos="567"/>
        </w:tabs>
        <w:rPr>
          <w:rFonts w:eastAsia="Times New Roman" w:cs="Arial"/>
        </w:rPr>
      </w:pPr>
    </w:p>
    <w:p w:rsidR="005B2C61" w:rsidRPr="005B2C61" w:rsidRDefault="005B2C61" w:rsidP="00D7464B">
      <w:pPr>
        <w:pStyle w:val="EMRCBulletText1"/>
      </w:pPr>
      <w:r w:rsidRPr="005B2C61">
        <w:t>Meet legislative requirements;</w:t>
      </w:r>
    </w:p>
    <w:p w:rsidR="005B2C61" w:rsidRPr="005B2C61" w:rsidRDefault="005B2C61" w:rsidP="00D7464B">
      <w:pPr>
        <w:pStyle w:val="EMRCBulletText1"/>
      </w:pPr>
      <w:r w:rsidRPr="005B2C61">
        <w:t>Optimise investment income and returns within acceptable risk parameters;</w:t>
      </w:r>
    </w:p>
    <w:p w:rsidR="005B2C61" w:rsidRPr="005B2C61" w:rsidRDefault="005B2C61" w:rsidP="00D7464B">
      <w:pPr>
        <w:pStyle w:val="EMRCBulletText1"/>
      </w:pPr>
      <w:r w:rsidRPr="005B2C61">
        <w:t>Ensure that investments match the liquidity needs of the EMRC; and</w:t>
      </w:r>
    </w:p>
    <w:p w:rsidR="005B2C61" w:rsidRPr="005B2C61" w:rsidRDefault="005B2C61" w:rsidP="005B2C61">
      <w:pPr>
        <w:pStyle w:val="3CoverPageTitle"/>
        <w:rPr>
          <w:rFonts w:eastAsia="Times New Roman" w:cs="Arial"/>
          <w:b w:val="0"/>
          <w:color w:val="000000"/>
          <w:sz w:val="22"/>
          <w:szCs w:val="22"/>
        </w:rPr>
      </w:pPr>
      <w:r w:rsidRPr="005B2C61">
        <w:rPr>
          <w:rFonts w:eastAsia="Times New Roman" w:cs="Arial"/>
          <w:b w:val="0"/>
          <w:color w:val="000000"/>
          <w:sz w:val="22"/>
          <w:szCs w:val="22"/>
        </w:rPr>
        <w:t>Are invested at the most favourable rate of interest available to it at the time whilst having due consideration of risk and security for that investment type.</w:t>
      </w:r>
    </w:p>
    <w:p w:rsidR="006670EB" w:rsidRDefault="00030EEE" w:rsidP="00F94EDC">
      <w:pPr>
        <w:pStyle w:val="3CoverPageTitle"/>
      </w:pPr>
      <w:r>
        <w:t>Legislation</w:t>
      </w:r>
    </w:p>
    <w:p w:rsidR="005B2C61" w:rsidRPr="005B2C61" w:rsidRDefault="005B2C61" w:rsidP="005B2C61">
      <w:pPr>
        <w:jc w:val="left"/>
        <w:rPr>
          <w:rFonts w:eastAsia="Times New Roman" w:cs="Times New Roman"/>
          <w:i/>
        </w:rPr>
      </w:pPr>
      <w:r w:rsidRPr="005B2C61">
        <w:rPr>
          <w:rFonts w:eastAsia="Times New Roman" w:cs="Times New Roman"/>
          <w:i/>
        </w:rPr>
        <w:t>Local Government Act 1995 s.6.14</w:t>
      </w:r>
    </w:p>
    <w:p w:rsidR="005B2C61" w:rsidRPr="005B2C61" w:rsidRDefault="005B2C61" w:rsidP="005B2C61">
      <w:pPr>
        <w:jc w:val="left"/>
        <w:rPr>
          <w:rFonts w:eastAsia="Times New Roman" w:cs="Times New Roman"/>
          <w:i/>
        </w:rPr>
      </w:pPr>
      <w:r w:rsidRPr="005B2C61">
        <w:rPr>
          <w:rFonts w:eastAsia="Times New Roman" w:cs="Times New Roman"/>
          <w:i/>
        </w:rPr>
        <w:t>Local Government (Financial Management) Regulations 1996 – r. 19-19C, 28 &amp; 49</w:t>
      </w:r>
    </w:p>
    <w:p w:rsidR="005B2C61" w:rsidRPr="005B2C61" w:rsidRDefault="005B2C61" w:rsidP="005B2C61">
      <w:pPr>
        <w:jc w:val="left"/>
        <w:rPr>
          <w:rFonts w:eastAsia="Times New Roman" w:cs="Times New Roman"/>
          <w:i/>
        </w:rPr>
      </w:pPr>
      <w:r w:rsidRPr="005B2C61">
        <w:rPr>
          <w:rFonts w:eastAsia="Times New Roman" w:cs="Times New Roman"/>
          <w:i/>
        </w:rPr>
        <w:t>Local Government (Financial Management) Amendment Regulations 2017 s.19C(2)(b)</w:t>
      </w:r>
    </w:p>
    <w:p w:rsidR="005B2C61" w:rsidRPr="005B2C61" w:rsidRDefault="005B2C61" w:rsidP="005B2C61">
      <w:pPr>
        <w:pStyle w:val="3CoverPageTitle"/>
        <w:rPr>
          <w:rFonts w:eastAsia="Times New Roman" w:cs="Times New Roman"/>
          <w:b w:val="0"/>
          <w:i/>
          <w:color w:val="auto"/>
          <w:sz w:val="22"/>
          <w:szCs w:val="22"/>
        </w:rPr>
      </w:pPr>
      <w:r w:rsidRPr="005B2C61">
        <w:rPr>
          <w:rFonts w:eastAsia="Times New Roman" w:cs="Times New Roman"/>
          <w:b w:val="0"/>
          <w:i/>
          <w:color w:val="auto"/>
          <w:sz w:val="22"/>
          <w:szCs w:val="22"/>
        </w:rPr>
        <w:t xml:space="preserve">Trustees Act 1962 - Part III </w:t>
      </w:r>
    </w:p>
    <w:p w:rsidR="006670EB" w:rsidRDefault="005B2C61" w:rsidP="005B2C61">
      <w:pPr>
        <w:pStyle w:val="3CoverPageTitle"/>
      </w:pPr>
      <w:r>
        <w:t xml:space="preserve">Policy </w:t>
      </w:r>
      <w:r w:rsidR="00030EEE">
        <w:t>Statement</w:t>
      </w:r>
    </w:p>
    <w:p w:rsidR="005B2C61" w:rsidRPr="005B2C61" w:rsidRDefault="005B2C61" w:rsidP="00D7464B">
      <w:pPr>
        <w:pStyle w:val="Heading1"/>
        <w:rPr>
          <w:rFonts w:eastAsia="Times New Roman"/>
        </w:rPr>
      </w:pPr>
      <w:r w:rsidRPr="005B2C61">
        <w:rPr>
          <w:rFonts w:eastAsia="Times New Roman"/>
        </w:rPr>
        <w:t>Ethics and Conflicts of Interest</w:t>
      </w:r>
    </w:p>
    <w:p w:rsidR="005B2C61" w:rsidRPr="005B2C61" w:rsidRDefault="005B2C61" w:rsidP="00D7464B">
      <w:pPr>
        <w:autoSpaceDE w:val="0"/>
        <w:autoSpaceDN w:val="0"/>
        <w:adjustRightInd w:val="0"/>
        <w:ind w:left="567"/>
        <w:rPr>
          <w:rFonts w:eastAsia="Times New Roman" w:cs="Times New Roman"/>
          <w:lang w:val="en-US"/>
        </w:rPr>
      </w:pPr>
      <w:r w:rsidRPr="005B2C61">
        <w:rPr>
          <w:rFonts w:eastAsia="Times New Roman" w:cs="Times New Roman"/>
          <w:lang w:val="en-US"/>
        </w:rPr>
        <w:t>Officers shall refrain from personal activities that would conflict with the proper execution and management of EMRC’s investment portfolio.  This policy requires officers to disclose any conflict of interest to the CEO.</w:t>
      </w:r>
    </w:p>
    <w:p w:rsidR="005B2C61" w:rsidRPr="005B2C61" w:rsidRDefault="005B2C61" w:rsidP="00D7464B">
      <w:pPr>
        <w:pStyle w:val="Heading1"/>
        <w:rPr>
          <w:rFonts w:eastAsia="Times New Roman"/>
        </w:rPr>
      </w:pPr>
      <w:r w:rsidRPr="005B2C61">
        <w:rPr>
          <w:rFonts w:eastAsia="Times New Roman"/>
        </w:rPr>
        <w:t>Delegation of Authority</w:t>
      </w:r>
    </w:p>
    <w:p w:rsidR="005B2C61" w:rsidRDefault="005B2C61" w:rsidP="00D7464B">
      <w:pPr>
        <w:autoSpaceDE w:val="0"/>
        <w:autoSpaceDN w:val="0"/>
        <w:adjustRightInd w:val="0"/>
        <w:ind w:left="567"/>
        <w:rPr>
          <w:rFonts w:eastAsia="Times New Roman" w:cs="Times New Roman"/>
          <w:lang w:val="en-US"/>
        </w:rPr>
      </w:pPr>
      <w:r w:rsidRPr="005B2C61">
        <w:rPr>
          <w:rFonts w:eastAsia="Times New Roman" w:cs="Times New Roman"/>
          <w:lang w:val="en-US"/>
        </w:rPr>
        <w:t xml:space="preserve">Authority for implementation of the Management of Investments Policy is delegated by Council to the CEO in accordance with the </w:t>
      </w:r>
      <w:r w:rsidRPr="005B2C61">
        <w:rPr>
          <w:rFonts w:eastAsia="Times New Roman" w:cs="Times New Roman"/>
          <w:i/>
          <w:lang w:val="en-US"/>
        </w:rPr>
        <w:t>Local Government Act 1995</w:t>
      </w:r>
      <w:r w:rsidRPr="005B2C61">
        <w:rPr>
          <w:rFonts w:eastAsia="Times New Roman" w:cs="Times New Roman"/>
          <w:lang w:val="en-US"/>
        </w:rPr>
        <w:t xml:space="preserve">. The CEO may in turn delegate the day-to-day management of Council’s investment portfolio to the </w:t>
      </w:r>
      <w:r w:rsidR="001C412F">
        <w:rPr>
          <w:rFonts w:eastAsia="Times New Roman" w:cs="Times New Roman"/>
          <w:lang w:val="en-US"/>
        </w:rPr>
        <w:t>Chief Financial Officer</w:t>
      </w:r>
      <w:r w:rsidRPr="005B2C61">
        <w:rPr>
          <w:rFonts w:eastAsia="Times New Roman" w:cs="Times New Roman"/>
          <w:lang w:val="en-US"/>
        </w:rPr>
        <w:t>.</w:t>
      </w:r>
    </w:p>
    <w:p w:rsidR="00D7464B" w:rsidRDefault="00D7464B" w:rsidP="005B2C61">
      <w:pPr>
        <w:autoSpaceDE w:val="0"/>
        <w:autoSpaceDN w:val="0"/>
        <w:adjustRightInd w:val="0"/>
        <w:rPr>
          <w:rFonts w:eastAsia="Times New Roman" w:cs="Times New Roman"/>
          <w:lang w:val="en-US"/>
        </w:rPr>
      </w:pPr>
    </w:p>
    <w:p w:rsidR="00D7464B" w:rsidRPr="005B2C61" w:rsidRDefault="00D7464B" w:rsidP="005B2C61">
      <w:pPr>
        <w:autoSpaceDE w:val="0"/>
        <w:autoSpaceDN w:val="0"/>
        <w:adjustRightInd w:val="0"/>
        <w:rPr>
          <w:rFonts w:eastAsia="Times New Roman" w:cs="Times New Roman"/>
          <w:lang w:val="en-US"/>
        </w:rPr>
      </w:pPr>
    </w:p>
    <w:p w:rsidR="00D7464B" w:rsidRDefault="00D7464B">
      <w:pPr>
        <w:spacing w:after="200" w:line="276" w:lineRule="auto"/>
        <w:jc w:val="left"/>
        <w:rPr>
          <w:rFonts w:eastAsia="Times New Roman" w:cs="Arial"/>
        </w:rPr>
        <w:sectPr w:rsidR="00D7464B">
          <w:headerReference w:type="default" r:id="rId7"/>
          <w:pgSz w:w="11906" w:h="16838"/>
          <w:pgMar w:top="1644" w:right="851" w:bottom="851" w:left="1701" w:header="737" w:footer="113" w:gutter="0"/>
          <w:cols w:space="720"/>
        </w:sectPr>
      </w:pPr>
    </w:p>
    <w:p w:rsidR="005B2C61" w:rsidRPr="005B2C61" w:rsidRDefault="005B2C61" w:rsidP="00D7464B">
      <w:pPr>
        <w:pStyle w:val="Heading1"/>
        <w:rPr>
          <w:rFonts w:eastAsia="Times New Roman"/>
        </w:rPr>
      </w:pPr>
      <w:r w:rsidRPr="005B2C61">
        <w:rPr>
          <w:rFonts w:eastAsia="Times New Roman"/>
        </w:rPr>
        <w:lastRenderedPageBreak/>
        <w:t>Investment Ratings</w:t>
      </w:r>
    </w:p>
    <w:p w:rsidR="005B2C61" w:rsidRPr="005B2C61" w:rsidRDefault="005B2C61" w:rsidP="00D7464B">
      <w:pPr>
        <w:tabs>
          <w:tab w:val="left" w:pos="426"/>
        </w:tabs>
        <w:autoSpaceDE w:val="0"/>
        <w:autoSpaceDN w:val="0"/>
        <w:adjustRightInd w:val="0"/>
        <w:spacing w:after="240"/>
        <w:ind w:left="567"/>
        <w:jc w:val="left"/>
        <w:rPr>
          <w:rFonts w:eastAsia="Times New Roman" w:cs="Arial"/>
          <w:bCs/>
          <w:lang w:val="en-US"/>
        </w:rPr>
      </w:pPr>
      <w:r w:rsidRPr="005B2C61">
        <w:rPr>
          <w:rFonts w:eastAsia="Times New Roman" w:cs="Arial"/>
          <w:bCs/>
          <w:lang w:val="en-US"/>
        </w:rPr>
        <w:t>Investment ratings in this policy are based on those issued by Standard &amp; Poor’s.</w:t>
      </w:r>
    </w:p>
    <w:p w:rsidR="005B2C61" w:rsidRPr="005B2C61" w:rsidRDefault="005B2C61" w:rsidP="00D7464B">
      <w:pPr>
        <w:spacing w:after="240" w:line="237" w:lineRule="auto"/>
        <w:ind w:left="567" w:right="58"/>
        <w:rPr>
          <w:rFonts w:eastAsia="Arial" w:cs="Arial"/>
          <w:spacing w:val="1"/>
        </w:rPr>
      </w:pPr>
      <w:r w:rsidRPr="005B2C61">
        <w:rPr>
          <w:rFonts w:eastAsia="Arial" w:cs="Arial"/>
          <w:spacing w:val="1"/>
        </w:rPr>
        <w:t>In the event a proposed investment is not rated by Standard &amp; Poor’s but is rated by either Fitch Ratings or Moody’s by a rating which is analogous to the ratings of Standard &amp; Poor’s, then the EMRC may make the investment relying on the Fitch Ratings or Moody’s ratings.</w:t>
      </w:r>
    </w:p>
    <w:p w:rsidR="005B2C61" w:rsidRPr="005B2C61" w:rsidRDefault="005B2C61" w:rsidP="00D7464B">
      <w:pPr>
        <w:tabs>
          <w:tab w:val="left" w:pos="426"/>
        </w:tabs>
        <w:autoSpaceDE w:val="0"/>
        <w:autoSpaceDN w:val="0"/>
        <w:adjustRightInd w:val="0"/>
        <w:spacing w:after="120"/>
        <w:ind w:left="567"/>
        <w:rPr>
          <w:rFonts w:eastAsia="Arial" w:cs="Arial"/>
          <w:spacing w:val="1"/>
        </w:rPr>
      </w:pPr>
      <w:r w:rsidRPr="005B2C61">
        <w:rPr>
          <w:rFonts w:eastAsia="Arial" w:cs="Arial"/>
          <w:spacing w:val="1"/>
        </w:rPr>
        <w:t>In the event that the rating of an investment held by the EMRC falls below the ratings allowed under this policy for new investments, the affected investment is to be assessed and a recommendation made to the Investment Committee to decide as to whether:</w:t>
      </w:r>
    </w:p>
    <w:p w:rsidR="005B2C61" w:rsidRPr="005B2C61" w:rsidRDefault="005B2C61" w:rsidP="00D7464B">
      <w:pPr>
        <w:pStyle w:val="EMRCBulletText1"/>
        <w:ind w:left="1134" w:hanging="567"/>
      </w:pPr>
      <w:r w:rsidRPr="005B2C61">
        <w:t>It is to be liquidated, where allowed under the terms of the investment; or</w:t>
      </w:r>
    </w:p>
    <w:p w:rsidR="005B2C61" w:rsidRPr="005B2C61" w:rsidRDefault="005B2C61" w:rsidP="00D7464B">
      <w:pPr>
        <w:pStyle w:val="EMRCBulletText1"/>
        <w:ind w:left="1134" w:hanging="567"/>
      </w:pPr>
      <w:r w:rsidRPr="005B2C61">
        <w:t>It is to be held to maturity.</w:t>
      </w:r>
    </w:p>
    <w:p w:rsidR="005B2C61" w:rsidRPr="00D7464B" w:rsidRDefault="005B2C61" w:rsidP="00D7464B">
      <w:pPr>
        <w:pStyle w:val="EMRCBulletText1"/>
        <w:tabs>
          <w:tab w:val="left" w:pos="426"/>
        </w:tabs>
        <w:autoSpaceDE w:val="0"/>
        <w:autoSpaceDN w:val="0"/>
        <w:adjustRightInd w:val="0"/>
        <w:spacing w:after="240"/>
        <w:ind w:left="1134" w:hanging="567"/>
        <w:rPr>
          <w:rFonts w:eastAsia="Times New Roman" w:cs="Arial"/>
          <w:bCs/>
          <w:lang w:val="en-US"/>
        </w:rPr>
      </w:pPr>
      <w:r w:rsidRPr="00D7464B">
        <w:rPr>
          <w:rFonts w:eastAsia="Times New Roman" w:cs="Arial"/>
          <w:bCs/>
          <w:lang w:val="en-US"/>
        </w:rPr>
        <w:t>The recommendation to the Investment Committee may be made by electronic mail (email) to expedite the approval process by circular resolution.</w:t>
      </w:r>
    </w:p>
    <w:p w:rsidR="005B2C61" w:rsidRPr="005B2C61" w:rsidRDefault="005B2C61" w:rsidP="00D7464B">
      <w:pPr>
        <w:pStyle w:val="Heading1"/>
        <w:rPr>
          <w:rFonts w:eastAsia="Times New Roman"/>
        </w:rPr>
      </w:pPr>
      <w:r w:rsidRPr="005B2C61">
        <w:rPr>
          <w:rFonts w:eastAsia="Times New Roman"/>
        </w:rPr>
        <w:t>Approved Investments</w:t>
      </w:r>
    </w:p>
    <w:p w:rsidR="005B2C61" w:rsidRPr="005B2C61" w:rsidRDefault="005B2C61" w:rsidP="00D7464B">
      <w:pPr>
        <w:spacing w:line="237" w:lineRule="auto"/>
        <w:ind w:left="567" w:right="58"/>
        <w:rPr>
          <w:rFonts w:eastAsia="Arial" w:cs="Arial"/>
          <w:spacing w:val="1"/>
        </w:rPr>
      </w:pPr>
      <w:r w:rsidRPr="005B2C61">
        <w:rPr>
          <w:rFonts w:eastAsia="Arial" w:cs="Arial"/>
          <w:spacing w:val="1"/>
        </w:rPr>
        <w:t xml:space="preserve">Approved investments are those investments permitted by s6.14(1) of the </w:t>
      </w:r>
      <w:r w:rsidRPr="005B2C61">
        <w:rPr>
          <w:rFonts w:eastAsia="Arial" w:cs="Arial"/>
          <w:i/>
          <w:spacing w:val="1"/>
        </w:rPr>
        <w:t>Local Government Act 1995</w:t>
      </w:r>
      <w:r w:rsidRPr="005B2C61">
        <w:rPr>
          <w:rFonts w:eastAsia="Arial" w:cs="Arial"/>
          <w:spacing w:val="1"/>
        </w:rPr>
        <w:t xml:space="preserve"> as specified in the Trustees Act 1962 Part III subject to the limitations expressed in Regulation 19C of the </w:t>
      </w:r>
      <w:r w:rsidRPr="005B2C61">
        <w:rPr>
          <w:rFonts w:eastAsia="Arial" w:cs="Arial"/>
          <w:i/>
          <w:spacing w:val="1"/>
        </w:rPr>
        <w:t>Local Government (Financial Management) Regulations 1996</w:t>
      </w:r>
      <w:r w:rsidRPr="005B2C61">
        <w:rPr>
          <w:rFonts w:eastAsia="Arial" w:cs="Arial"/>
          <w:spacing w:val="1"/>
        </w:rPr>
        <w:t>.</w:t>
      </w:r>
    </w:p>
    <w:p w:rsidR="005B2C61" w:rsidRPr="005B2C61" w:rsidRDefault="005B2C61" w:rsidP="00D7464B">
      <w:pPr>
        <w:pStyle w:val="Heading1"/>
        <w:rPr>
          <w:rFonts w:eastAsia="Times New Roman"/>
        </w:rPr>
      </w:pPr>
      <w:r w:rsidRPr="005B2C61">
        <w:rPr>
          <w:rFonts w:eastAsia="Times New Roman"/>
        </w:rPr>
        <w:t>Preference for Non-Fossil Fuel Investments</w:t>
      </w:r>
    </w:p>
    <w:p w:rsidR="005B2C61" w:rsidRPr="005B2C61" w:rsidRDefault="005B2C61" w:rsidP="00D7464B">
      <w:pPr>
        <w:spacing w:after="120"/>
        <w:ind w:left="567"/>
        <w:rPr>
          <w:rFonts w:eastAsia="Times New Roman" w:cs="Arial"/>
        </w:rPr>
      </w:pPr>
      <w:r w:rsidRPr="005B2C61">
        <w:rPr>
          <w:rFonts w:eastAsia="Times New Roman" w:cs="Arial"/>
        </w:rPr>
        <w:t xml:space="preserve">When making investment decisions, the EMRC will give preference to institutions that do not invest in or finance the fossil fuel industry, where: </w:t>
      </w:r>
    </w:p>
    <w:p w:rsidR="005B2C61" w:rsidRPr="00D7464B" w:rsidRDefault="005B2C61" w:rsidP="00D7464B">
      <w:pPr>
        <w:pStyle w:val="EMRCBulletText1"/>
        <w:ind w:left="1134" w:hanging="567"/>
      </w:pPr>
      <w:r w:rsidRPr="00D7464B">
        <w:t>The investment complies with EMRC’s investment policy;</w:t>
      </w:r>
    </w:p>
    <w:p w:rsidR="005B2C61" w:rsidRPr="00D7464B" w:rsidRDefault="005B2C61" w:rsidP="00D7464B">
      <w:pPr>
        <w:pStyle w:val="EMRCBulletText1"/>
        <w:ind w:left="1134" w:hanging="567"/>
      </w:pPr>
      <w:r w:rsidRPr="00D7464B">
        <w:t xml:space="preserve">The rate of interest is favourable to EMRC relative to alternative options available at the time; </w:t>
      </w:r>
    </w:p>
    <w:p w:rsidR="005B2C61" w:rsidRPr="00D7464B" w:rsidRDefault="005B2C61" w:rsidP="00D7464B">
      <w:pPr>
        <w:pStyle w:val="EMRCBulletText1"/>
        <w:ind w:left="1134" w:hanging="567"/>
      </w:pPr>
      <w:r w:rsidRPr="00D7464B">
        <w:t>The credit rating of the investment is comparable to alternative options available at the time.</w:t>
      </w:r>
    </w:p>
    <w:p w:rsidR="005B2C61" w:rsidRPr="005B2C61" w:rsidRDefault="005B2C61" w:rsidP="00D7464B">
      <w:pPr>
        <w:spacing w:after="120"/>
        <w:ind w:left="567"/>
        <w:rPr>
          <w:rFonts w:eastAsia="Times New Roman" w:cs="Arial"/>
        </w:rPr>
      </w:pPr>
      <w:r w:rsidRPr="005B2C61">
        <w:rPr>
          <w:rFonts w:eastAsia="Times New Roman" w:cs="Arial"/>
        </w:rPr>
        <w:t>Non-fossil fuel investment considerations will be part of the overall selection process to best meet EMRC’s investment strategy objectives while ensuring compliance with prevailing legislation and this Investment Policy.</w:t>
      </w:r>
    </w:p>
    <w:p w:rsidR="005B2C61" w:rsidRPr="005B2C61" w:rsidRDefault="005B2C61" w:rsidP="00D7464B">
      <w:pPr>
        <w:pStyle w:val="Heading1"/>
        <w:rPr>
          <w:rFonts w:eastAsia="Times New Roman"/>
        </w:rPr>
      </w:pPr>
      <w:r w:rsidRPr="005B2C61">
        <w:rPr>
          <w:rFonts w:eastAsia="Times New Roman"/>
        </w:rPr>
        <w:t>Prohibited Investments</w:t>
      </w:r>
    </w:p>
    <w:p w:rsidR="005B2C61" w:rsidRPr="005B2C61" w:rsidRDefault="005B2C61" w:rsidP="005B2C61">
      <w:pPr>
        <w:spacing w:line="237" w:lineRule="auto"/>
        <w:ind w:right="58"/>
        <w:rPr>
          <w:rFonts w:eastAsia="Arial" w:cs="Arial"/>
          <w:spacing w:val="1"/>
        </w:rPr>
      </w:pPr>
      <w:r w:rsidRPr="005B2C61">
        <w:rPr>
          <w:rFonts w:eastAsia="Arial" w:cs="Arial"/>
          <w:spacing w:val="1"/>
        </w:rPr>
        <w:t>This investment policy prohibits any investment which is not an Approved Investment.</w:t>
      </w:r>
    </w:p>
    <w:p w:rsidR="005B2C61" w:rsidRPr="005B2C61" w:rsidRDefault="005B2C61" w:rsidP="00D7464B">
      <w:pPr>
        <w:pStyle w:val="Heading1"/>
        <w:rPr>
          <w:rFonts w:eastAsia="Times New Roman"/>
        </w:rPr>
      </w:pPr>
      <w:r w:rsidRPr="005B2C61">
        <w:rPr>
          <w:rFonts w:eastAsia="Times New Roman"/>
        </w:rPr>
        <w:t>Risk Management Guidelines</w:t>
      </w:r>
    </w:p>
    <w:p w:rsidR="005B2C61" w:rsidRPr="005B2C61" w:rsidRDefault="005B2C61" w:rsidP="00D7464B">
      <w:pPr>
        <w:autoSpaceDE w:val="0"/>
        <w:autoSpaceDN w:val="0"/>
        <w:adjustRightInd w:val="0"/>
        <w:spacing w:after="120"/>
        <w:ind w:firstLine="567"/>
        <w:rPr>
          <w:rFonts w:eastAsia="Times New Roman" w:cs="Times New Roman"/>
          <w:lang w:val="en-US"/>
        </w:rPr>
      </w:pPr>
      <w:r w:rsidRPr="005B2C61">
        <w:rPr>
          <w:rFonts w:eastAsia="Times New Roman" w:cs="Times New Roman"/>
          <w:lang w:val="en-US"/>
        </w:rPr>
        <w:t xml:space="preserve">Investments obtained are to be considered in light of the following key criteria: </w:t>
      </w:r>
    </w:p>
    <w:p w:rsidR="005B2C61" w:rsidRPr="00D7464B" w:rsidRDefault="005B2C61" w:rsidP="00D7464B">
      <w:pPr>
        <w:pStyle w:val="EMRCBulletText1"/>
        <w:ind w:left="1134" w:hanging="567"/>
      </w:pPr>
      <w:r w:rsidRPr="00D7464B">
        <w:t xml:space="preserve">Preservation of Capital – the requirement for preventing losses in an investment portfolio’s total value; </w:t>
      </w:r>
    </w:p>
    <w:p w:rsidR="005B2C61" w:rsidRPr="00D7464B" w:rsidRDefault="005B2C61" w:rsidP="00D7464B">
      <w:pPr>
        <w:pStyle w:val="EMRCBulletText1"/>
        <w:ind w:left="1134" w:hanging="567"/>
      </w:pPr>
      <w:r w:rsidRPr="00D7464B">
        <w:t xml:space="preserve">Diversification – the requirement to place investments in a broad range of products so as not to be over exposed to a particular sector of the investment market; </w:t>
      </w:r>
    </w:p>
    <w:p w:rsidR="005B2C61" w:rsidRPr="00D7464B" w:rsidRDefault="005B2C61" w:rsidP="00D7464B">
      <w:pPr>
        <w:pStyle w:val="EMRCBulletText1"/>
        <w:ind w:left="1134" w:hanging="567"/>
      </w:pPr>
      <w:r w:rsidRPr="00D7464B">
        <w:t xml:space="preserve">Market Risk </w:t>
      </w:r>
      <w:r w:rsidRPr="00D7464B">
        <w:noBreakHyphen/>
        <w:t xml:space="preserve"> the risk that the fair value or future cash flows of an investment will fluctuate due to changes in market prices; </w:t>
      </w:r>
    </w:p>
    <w:p w:rsidR="005B2C61" w:rsidRPr="00D7464B" w:rsidRDefault="005B2C61" w:rsidP="00D7464B">
      <w:pPr>
        <w:pStyle w:val="EMRCBulletText1"/>
        <w:ind w:left="1134" w:hanging="567"/>
      </w:pPr>
      <w:r w:rsidRPr="00D7464B">
        <w:t xml:space="preserve">Liquidity Risk </w:t>
      </w:r>
      <w:r w:rsidRPr="00D7464B">
        <w:noBreakHyphen/>
        <w:t xml:space="preserve"> the risk an investor is unable to redeem the investment at a fair price within a timely period; </w:t>
      </w:r>
    </w:p>
    <w:p w:rsidR="005B2C61" w:rsidRPr="00D7464B" w:rsidRDefault="005B2C61" w:rsidP="00D7464B">
      <w:pPr>
        <w:pStyle w:val="EMRCBulletText1"/>
        <w:ind w:left="1134" w:hanging="567"/>
      </w:pPr>
      <w:r w:rsidRPr="00D7464B">
        <w:t xml:space="preserve">Maturity Risk </w:t>
      </w:r>
      <w:r w:rsidRPr="00D7464B">
        <w:noBreakHyphen/>
        <w:t xml:space="preserve"> the risk relating to the length of term to maturity of the investment.  The larger the term, the greater the length of exposure and risk to market volatilities; and </w:t>
      </w:r>
    </w:p>
    <w:p w:rsidR="005B2C61" w:rsidRPr="00D7464B" w:rsidRDefault="005B2C61" w:rsidP="00D7464B">
      <w:pPr>
        <w:pStyle w:val="EMRCBulletText1"/>
        <w:ind w:left="1134" w:hanging="567"/>
      </w:pPr>
      <w:r w:rsidRPr="00D7464B">
        <w:t>Investments must be rated at not less than the Standard &amp; Poor’s ratings (or Moody’s or Fitch Ratings equivalent as detailed in section 3) specified below.</w:t>
      </w:r>
    </w:p>
    <w:p w:rsidR="005B2C61" w:rsidRPr="005B2C61" w:rsidRDefault="005B2C61" w:rsidP="00746687">
      <w:pPr>
        <w:keepNext/>
        <w:keepLines/>
        <w:autoSpaceDE w:val="0"/>
        <w:autoSpaceDN w:val="0"/>
        <w:adjustRightInd w:val="0"/>
        <w:spacing w:after="120"/>
        <w:ind w:left="425"/>
        <w:rPr>
          <w:rFonts w:eastAsia="Times New Roman" w:cs="Times New Roman"/>
          <w:lang w:val="en-US"/>
        </w:rPr>
      </w:pPr>
      <w:proofErr w:type="gramStart"/>
      <w:r w:rsidRPr="005B2C61">
        <w:rPr>
          <w:rFonts w:eastAsia="Times New Roman" w:cs="Times New Roman"/>
          <w:lang w:val="en-US"/>
        </w:rPr>
        <w:lastRenderedPageBreak/>
        <w:t>Furthermore</w:t>
      </w:r>
      <w:proofErr w:type="gramEnd"/>
      <w:r w:rsidRPr="005B2C61">
        <w:rPr>
          <w:rFonts w:eastAsia="Times New Roman" w:cs="Times New Roman"/>
          <w:lang w:val="en-US"/>
        </w:rPr>
        <w:t xml:space="preserve"> investments are to comply with three key criteria relating to:</w:t>
      </w:r>
    </w:p>
    <w:p w:rsidR="005B2C61" w:rsidRPr="00EE3A8D" w:rsidRDefault="005B2C61" w:rsidP="004051EC">
      <w:pPr>
        <w:pStyle w:val="Heading2"/>
        <w:spacing w:after="240"/>
        <w:rPr>
          <w:rFonts w:eastAsia="Times New Roman"/>
        </w:rPr>
      </w:pPr>
      <w:r w:rsidRPr="00EE3A8D">
        <w:rPr>
          <w:rFonts w:eastAsia="Times New Roman"/>
        </w:rPr>
        <w:t>Overall Portfolio Limits</w:t>
      </w:r>
    </w:p>
    <w:p w:rsidR="005B2C61" w:rsidRPr="005B2C61" w:rsidRDefault="005B2C61" w:rsidP="00EE3A8D">
      <w:pPr>
        <w:keepNext/>
        <w:keepLines/>
        <w:autoSpaceDE w:val="0"/>
        <w:autoSpaceDN w:val="0"/>
        <w:adjustRightInd w:val="0"/>
        <w:spacing w:after="240"/>
        <w:ind w:left="1418"/>
        <w:rPr>
          <w:rFonts w:eastAsia="Times New Roman" w:cs="Arial"/>
          <w:color w:val="000000"/>
        </w:rPr>
      </w:pPr>
      <w:r w:rsidRPr="005B2C61">
        <w:rPr>
          <w:rFonts w:eastAsia="Times New Roman" w:cs="Arial"/>
          <w:color w:val="000000"/>
        </w:rPr>
        <w:t>To control the credit quality on the entire portfolio, the following credit framework limits the percentage of the portfolio exposed to any particular credit rating category.</w:t>
      </w:r>
    </w:p>
    <w:tbl>
      <w:tblPr>
        <w:tblW w:w="7938" w:type="dxa"/>
        <w:tblInd w:w="1413" w:type="dxa"/>
        <w:tblBorders>
          <w:top w:val="single" w:sz="2" w:space="0" w:color="313253" w:themeColor="accent5"/>
          <w:left w:val="single" w:sz="2" w:space="0" w:color="313253" w:themeColor="accent5"/>
          <w:bottom w:val="single" w:sz="2" w:space="0" w:color="313253" w:themeColor="accent5"/>
          <w:right w:val="single" w:sz="2" w:space="0" w:color="313253" w:themeColor="accent5"/>
          <w:insideH w:val="single" w:sz="2" w:space="0" w:color="313253" w:themeColor="accent5"/>
          <w:insideV w:val="single" w:sz="2" w:space="0" w:color="313253" w:themeColor="accent5"/>
        </w:tblBorders>
        <w:tblLook w:val="01E0" w:firstRow="1" w:lastRow="1" w:firstColumn="1" w:lastColumn="1" w:noHBand="0" w:noVBand="0"/>
      </w:tblPr>
      <w:tblGrid>
        <w:gridCol w:w="3969"/>
        <w:gridCol w:w="3969"/>
      </w:tblGrid>
      <w:tr w:rsidR="00EE3A8D" w:rsidRPr="00EE3A8D" w:rsidTr="00EE3A8D">
        <w:trPr>
          <w:trHeight w:val="572"/>
        </w:trPr>
        <w:tc>
          <w:tcPr>
            <w:tcW w:w="3969" w:type="dxa"/>
            <w:tcBorders>
              <w:bottom w:val="nil"/>
            </w:tcBorders>
            <w:shd w:val="clear" w:color="auto" w:fill="313253" w:themeFill="accent5"/>
            <w:vAlign w:val="center"/>
            <w:hideMark/>
          </w:tcPr>
          <w:p w:rsidR="005B2C61" w:rsidRPr="00EE3A8D" w:rsidRDefault="005B2C61" w:rsidP="004051EC">
            <w:pPr>
              <w:autoSpaceDE w:val="0"/>
              <w:autoSpaceDN w:val="0"/>
              <w:adjustRightInd w:val="0"/>
              <w:spacing w:before="60" w:after="60"/>
              <w:ind w:left="142"/>
              <w:jc w:val="center"/>
              <w:rPr>
                <w:rFonts w:eastAsia="Times New Roman" w:cs="Helvetica-Bold"/>
                <w:b/>
                <w:bCs/>
                <w:color w:val="C1A408" w:themeColor="accent4"/>
              </w:rPr>
            </w:pPr>
            <w:r w:rsidRPr="00EE3A8D">
              <w:rPr>
                <w:rFonts w:eastAsia="Times New Roman" w:cs="Helvetica-Bold"/>
                <w:b/>
                <w:bCs/>
                <w:color w:val="C1A408" w:themeColor="accent4"/>
              </w:rPr>
              <w:t>S&amp;P Long Term Rating</w:t>
            </w:r>
          </w:p>
        </w:tc>
        <w:tc>
          <w:tcPr>
            <w:tcW w:w="3969" w:type="dxa"/>
            <w:tcBorders>
              <w:bottom w:val="nil"/>
            </w:tcBorders>
            <w:shd w:val="clear" w:color="auto" w:fill="313253" w:themeFill="accent5"/>
            <w:vAlign w:val="center"/>
            <w:hideMark/>
          </w:tcPr>
          <w:p w:rsidR="005B2C61" w:rsidRPr="00EE3A8D" w:rsidRDefault="005B2C61" w:rsidP="004051EC">
            <w:pPr>
              <w:autoSpaceDE w:val="0"/>
              <w:autoSpaceDN w:val="0"/>
              <w:adjustRightInd w:val="0"/>
              <w:spacing w:before="60" w:after="60"/>
              <w:ind w:left="142"/>
              <w:jc w:val="center"/>
              <w:rPr>
                <w:rFonts w:eastAsia="Times New Roman" w:cs="Helvetica-Bold"/>
                <w:b/>
                <w:bCs/>
                <w:color w:val="C1A408" w:themeColor="accent4"/>
              </w:rPr>
            </w:pPr>
            <w:r w:rsidRPr="00EE3A8D">
              <w:rPr>
                <w:rFonts w:eastAsia="Times New Roman" w:cs="Helvetica-Bold"/>
                <w:b/>
                <w:bCs/>
                <w:color w:val="C1A408" w:themeColor="accent4"/>
              </w:rPr>
              <w:t>Portfolio</w:t>
            </w:r>
            <w:r w:rsidR="00EE3A8D">
              <w:rPr>
                <w:rFonts w:eastAsia="Times New Roman" w:cs="Helvetica-Bold"/>
                <w:b/>
                <w:bCs/>
                <w:color w:val="C1A408" w:themeColor="accent4"/>
              </w:rPr>
              <w:t xml:space="preserve"> </w:t>
            </w:r>
            <w:r w:rsidRPr="00EE3A8D">
              <w:rPr>
                <w:rFonts w:eastAsia="Times New Roman" w:cs="Helvetica-Bold"/>
                <w:b/>
                <w:bCs/>
                <w:color w:val="C1A408" w:themeColor="accent4"/>
              </w:rPr>
              <w:t>Maximum %</w:t>
            </w:r>
          </w:p>
        </w:tc>
      </w:tr>
      <w:tr w:rsidR="005B2C61" w:rsidRPr="005B2C61" w:rsidTr="00EE3A8D">
        <w:trPr>
          <w:trHeight w:val="285"/>
        </w:trPr>
        <w:tc>
          <w:tcPr>
            <w:tcW w:w="3969" w:type="dxa"/>
            <w:tcBorders>
              <w:top w:val="nil"/>
            </w:tcBorders>
            <w:vAlign w:val="center"/>
            <w:hideMark/>
          </w:tcPr>
          <w:p w:rsidR="005B2C61" w:rsidRPr="005B2C61" w:rsidRDefault="005B2C61" w:rsidP="004051EC">
            <w:pPr>
              <w:autoSpaceDE w:val="0"/>
              <w:autoSpaceDN w:val="0"/>
              <w:adjustRightInd w:val="0"/>
              <w:spacing w:before="60" w:after="60"/>
              <w:ind w:left="142"/>
              <w:jc w:val="center"/>
              <w:rPr>
                <w:rFonts w:eastAsia="Times New Roman" w:cs="Helvetica-Bold"/>
                <w:bCs/>
                <w:color w:val="000000"/>
              </w:rPr>
            </w:pPr>
            <w:r w:rsidRPr="005B2C61">
              <w:rPr>
                <w:rFonts w:eastAsia="Times New Roman" w:cs="Helvetica-Bold"/>
                <w:bCs/>
                <w:color w:val="000000"/>
              </w:rPr>
              <w:t>AAA</w:t>
            </w:r>
          </w:p>
        </w:tc>
        <w:tc>
          <w:tcPr>
            <w:tcW w:w="3969" w:type="dxa"/>
            <w:tcBorders>
              <w:top w:val="nil"/>
            </w:tcBorders>
            <w:vAlign w:val="center"/>
            <w:hideMark/>
          </w:tcPr>
          <w:p w:rsidR="005B2C61" w:rsidRPr="005B2C61" w:rsidRDefault="005B2C61" w:rsidP="004051EC">
            <w:pPr>
              <w:autoSpaceDE w:val="0"/>
              <w:autoSpaceDN w:val="0"/>
              <w:adjustRightInd w:val="0"/>
              <w:spacing w:before="60" w:after="60"/>
              <w:ind w:left="142"/>
              <w:jc w:val="center"/>
              <w:rPr>
                <w:rFonts w:eastAsia="Times New Roman" w:cs="Helvetica-Bold"/>
                <w:bCs/>
                <w:color w:val="000000"/>
              </w:rPr>
            </w:pPr>
            <w:r w:rsidRPr="005B2C61">
              <w:rPr>
                <w:rFonts w:eastAsia="Times New Roman" w:cs="Helvetica-Bold"/>
                <w:bCs/>
                <w:color w:val="000000"/>
              </w:rPr>
              <w:t>100%</w:t>
            </w:r>
          </w:p>
        </w:tc>
      </w:tr>
      <w:tr w:rsidR="005B2C61" w:rsidRPr="005B2C61" w:rsidTr="00EE3A8D">
        <w:trPr>
          <w:trHeight w:val="268"/>
        </w:trPr>
        <w:tc>
          <w:tcPr>
            <w:tcW w:w="3969" w:type="dxa"/>
            <w:vAlign w:val="center"/>
            <w:hideMark/>
          </w:tcPr>
          <w:p w:rsidR="005B2C61" w:rsidRPr="005B2C61" w:rsidRDefault="005B2C61" w:rsidP="004051EC">
            <w:pPr>
              <w:autoSpaceDE w:val="0"/>
              <w:autoSpaceDN w:val="0"/>
              <w:adjustRightInd w:val="0"/>
              <w:spacing w:before="60" w:after="60"/>
              <w:ind w:left="142"/>
              <w:jc w:val="center"/>
              <w:rPr>
                <w:rFonts w:eastAsia="Times New Roman" w:cs="Helvetica-Bold"/>
                <w:bCs/>
                <w:color w:val="000000"/>
              </w:rPr>
            </w:pPr>
            <w:r w:rsidRPr="005B2C61">
              <w:rPr>
                <w:rFonts w:eastAsia="Times New Roman" w:cs="Helvetica-Bold"/>
                <w:bCs/>
                <w:color w:val="000000"/>
              </w:rPr>
              <w:t>AA &amp; A</w:t>
            </w:r>
          </w:p>
        </w:tc>
        <w:tc>
          <w:tcPr>
            <w:tcW w:w="3969" w:type="dxa"/>
            <w:vAlign w:val="center"/>
            <w:hideMark/>
          </w:tcPr>
          <w:p w:rsidR="005B2C61" w:rsidRPr="005B2C61" w:rsidRDefault="005B2C61" w:rsidP="004051EC">
            <w:pPr>
              <w:autoSpaceDE w:val="0"/>
              <w:autoSpaceDN w:val="0"/>
              <w:adjustRightInd w:val="0"/>
              <w:spacing w:before="60" w:after="60"/>
              <w:ind w:left="142"/>
              <w:jc w:val="center"/>
              <w:rPr>
                <w:rFonts w:eastAsia="Times New Roman" w:cs="Helvetica"/>
                <w:color w:val="000000"/>
              </w:rPr>
            </w:pPr>
            <w:r w:rsidRPr="005B2C61">
              <w:rPr>
                <w:rFonts w:eastAsia="Times New Roman" w:cs="Helvetica"/>
                <w:color w:val="000000"/>
              </w:rPr>
              <w:t>100%</w:t>
            </w:r>
          </w:p>
        </w:tc>
      </w:tr>
      <w:tr w:rsidR="005B2C61" w:rsidRPr="005B2C61" w:rsidTr="00EE3A8D">
        <w:trPr>
          <w:trHeight w:val="285"/>
        </w:trPr>
        <w:tc>
          <w:tcPr>
            <w:tcW w:w="3969" w:type="dxa"/>
            <w:vAlign w:val="center"/>
            <w:hideMark/>
          </w:tcPr>
          <w:p w:rsidR="005B2C61" w:rsidRPr="005B2C61" w:rsidRDefault="005B2C61" w:rsidP="004051EC">
            <w:pPr>
              <w:autoSpaceDE w:val="0"/>
              <w:autoSpaceDN w:val="0"/>
              <w:adjustRightInd w:val="0"/>
              <w:spacing w:before="60" w:after="60"/>
              <w:ind w:left="142"/>
              <w:jc w:val="center"/>
              <w:rPr>
                <w:rFonts w:eastAsia="Times New Roman" w:cs="Helvetica-Bold"/>
                <w:bCs/>
                <w:color w:val="000000"/>
              </w:rPr>
            </w:pPr>
            <w:r w:rsidRPr="005B2C61">
              <w:rPr>
                <w:rFonts w:eastAsia="Times New Roman" w:cs="Helvetica-Bold"/>
                <w:bCs/>
                <w:color w:val="000000"/>
              </w:rPr>
              <w:t>BBB</w:t>
            </w:r>
          </w:p>
        </w:tc>
        <w:tc>
          <w:tcPr>
            <w:tcW w:w="3969" w:type="dxa"/>
            <w:vAlign w:val="center"/>
            <w:hideMark/>
          </w:tcPr>
          <w:p w:rsidR="005B2C61" w:rsidRPr="005B2C61" w:rsidRDefault="005B2C61" w:rsidP="004051EC">
            <w:pPr>
              <w:autoSpaceDE w:val="0"/>
              <w:autoSpaceDN w:val="0"/>
              <w:adjustRightInd w:val="0"/>
              <w:spacing w:before="60" w:after="60"/>
              <w:ind w:left="142"/>
              <w:jc w:val="center"/>
              <w:rPr>
                <w:rFonts w:eastAsia="Times New Roman" w:cs="Helvetica"/>
                <w:color w:val="000000"/>
              </w:rPr>
            </w:pPr>
            <w:r w:rsidRPr="005B2C61">
              <w:rPr>
                <w:rFonts w:eastAsia="Times New Roman" w:cs="Helvetica"/>
                <w:color w:val="000000"/>
              </w:rPr>
              <w:t>40%</w:t>
            </w:r>
          </w:p>
        </w:tc>
      </w:tr>
    </w:tbl>
    <w:p w:rsidR="005B2C61" w:rsidRPr="005B2C61" w:rsidRDefault="005B2C61" w:rsidP="005B2C61">
      <w:pPr>
        <w:autoSpaceDE w:val="0"/>
        <w:autoSpaceDN w:val="0"/>
        <w:adjustRightInd w:val="0"/>
        <w:ind w:left="142"/>
        <w:jc w:val="left"/>
        <w:rPr>
          <w:rFonts w:eastAsia="Times New Roman" w:cs="Arial"/>
          <w:color w:val="000000"/>
          <w:lang w:val="en-US"/>
        </w:rPr>
      </w:pPr>
    </w:p>
    <w:p w:rsidR="005B2C61" w:rsidRPr="005B2C61" w:rsidRDefault="005B2C61" w:rsidP="005B2C61">
      <w:pPr>
        <w:autoSpaceDE w:val="0"/>
        <w:autoSpaceDN w:val="0"/>
        <w:adjustRightInd w:val="0"/>
        <w:jc w:val="left"/>
        <w:rPr>
          <w:rFonts w:eastAsia="Times New Roman" w:cs="Arial"/>
          <w:color w:val="000000"/>
          <w:lang w:val="en-US"/>
        </w:rPr>
      </w:pPr>
    </w:p>
    <w:p w:rsidR="005B2C61" w:rsidRPr="00EE3A8D" w:rsidRDefault="005B2C61" w:rsidP="004051EC">
      <w:pPr>
        <w:pStyle w:val="Heading2"/>
        <w:spacing w:after="240"/>
        <w:rPr>
          <w:rFonts w:eastAsia="Times New Roman"/>
        </w:rPr>
      </w:pPr>
      <w:r w:rsidRPr="00EE3A8D">
        <w:rPr>
          <w:rFonts w:eastAsia="Times New Roman"/>
        </w:rPr>
        <w:t>Single Entity Exposure</w:t>
      </w:r>
    </w:p>
    <w:p w:rsidR="005B2C61" w:rsidRPr="005B2C61" w:rsidRDefault="005B2C61" w:rsidP="004051EC">
      <w:pPr>
        <w:keepNext/>
        <w:keepLines/>
        <w:autoSpaceDE w:val="0"/>
        <w:autoSpaceDN w:val="0"/>
        <w:adjustRightInd w:val="0"/>
        <w:spacing w:after="120"/>
        <w:ind w:left="1418"/>
        <w:rPr>
          <w:rFonts w:eastAsia="Times New Roman" w:cs="Arial"/>
          <w:color w:val="000000"/>
        </w:rPr>
      </w:pPr>
      <w:bookmarkStart w:id="1" w:name="OLE_LINK2"/>
      <w:bookmarkStart w:id="2" w:name="OLE_LINK1"/>
      <w:r w:rsidRPr="005B2C61">
        <w:rPr>
          <w:rFonts w:eastAsia="Times New Roman" w:cs="Arial"/>
          <w:color w:val="000000"/>
        </w:rPr>
        <w:t xml:space="preserve">Exposure to an individual </w:t>
      </w:r>
      <w:r w:rsidRPr="004051EC">
        <w:rPr>
          <w:rFonts w:eastAsia="Times New Roman" w:cs="Arial"/>
          <w:color w:val="000000"/>
        </w:rPr>
        <w:t>institution will be restricted by its credit rating so that single entity exposure is limited, as detailed in the table below:</w:t>
      </w:r>
    </w:p>
    <w:tbl>
      <w:tblPr>
        <w:tblW w:w="7933" w:type="dxa"/>
        <w:tblInd w:w="1413" w:type="dxa"/>
        <w:tblBorders>
          <w:top w:val="single" w:sz="4" w:space="0" w:color="313253" w:themeColor="accent5"/>
          <w:left w:val="single" w:sz="4" w:space="0" w:color="313253" w:themeColor="accent5"/>
          <w:bottom w:val="single" w:sz="4" w:space="0" w:color="313253" w:themeColor="accent5"/>
          <w:right w:val="single" w:sz="4" w:space="0" w:color="313253" w:themeColor="accent5"/>
          <w:insideH w:val="single" w:sz="4" w:space="0" w:color="313253" w:themeColor="accent5"/>
          <w:insideV w:val="single" w:sz="4" w:space="0" w:color="313253" w:themeColor="accent5"/>
        </w:tblBorders>
        <w:tblLook w:val="04A0" w:firstRow="1" w:lastRow="0" w:firstColumn="1" w:lastColumn="0" w:noHBand="0" w:noVBand="1"/>
      </w:tblPr>
      <w:tblGrid>
        <w:gridCol w:w="3972"/>
        <w:gridCol w:w="3961"/>
      </w:tblGrid>
      <w:tr w:rsidR="004051EC" w:rsidRPr="004051EC" w:rsidTr="004051EC">
        <w:trPr>
          <w:trHeight w:val="282"/>
        </w:trPr>
        <w:tc>
          <w:tcPr>
            <w:tcW w:w="3972" w:type="dxa"/>
            <w:shd w:val="clear" w:color="auto" w:fill="313253" w:themeFill="accent5"/>
            <w:noWrap/>
            <w:vAlign w:val="center"/>
            <w:hideMark/>
          </w:tcPr>
          <w:bookmarkEnd w:id="1"/>
          <w:bookmarkEnd w:id="2"/>
          <w:p w:rsidR="005B2C61" w:rsidRPr="004051EC" w:rsidRDefault="005B2C61" w:rsidP="004051EC">
            <w:pPr>
              <w:spacing w:before="60" w:after="60"/>
              <w:jc w:val="center"/>
              <w:rPr>
                <w:rFonts w:eastAsia="Times New Roman" w:cs="Arial"/>
                <w:b/>
                <w:color w:val="C1A408" w:themeColor="accent4"/>
              </w:rPr>
            </w:pPr>
            <w:r w:rsidRPr="004051EC">
              <w:rPr>
                <w:rFonts w:eastAsia="Times New Roman" w:cs="Arial"/>
                <w:b/>
                <w:color w:val="C1A408" w:themeColor="accent4"/>
              </w:rPr>
              <w:t>S&amp;P Long Term Rating</w:t>
            </w:r>
          </w:p>
        </w:tc>
        <w:tc>
          <w:tcPr>
            <w:tcW w:w="3961" w:type="dxa"/>
            <w:shd w:val="clear" w:color="auto" w:fill="313253" w:themeFill="accent5"/>
            <w:noWrap/>
            <w:vAlign w:val="bottom"/>
            <w:hideMark/>
          </w:tcPr>
          <w:p w:rsidR="005B2C61" w:rsidRPr="004051EC" w:rsidRDefault="005B2C61" w:rsidP="004051EC">
            <w:pPr>
              <w:spacing w:before="60" w:after="60"/>
              <w:jc w:val="center"/>
              <w:rPr>
                <w:rFonts w:eastAsia="Times New Roman" w:cs="Arial"/>
                <w:b/>
                <w:color w:val="C1A408" w:themeColor="accent4"/>
              </w:rPr>
            </w:pPr>
            <w:r w:rsidRPr="004051EC">
              <w:rPr>
                <w:rFonts w:eastAsia="Times New Roman" w:cs="Arial"/>
                <w:b/>
                <w:color w:val="C1A408" w:themeColor="accent4"/>
              </w:rPr>
              <w:t>Portfolio Maximum %</w:t>
            </w:r>
          </w:p>
        </w:tc>
      </w:tr>
      <w:tr w:rsidR="005B2C61" w:rsidRPr="005B2C61" w:rsidTr="004051EC">
        <w:trPr>
          <w:trHeight w:val="282"/>
        </w:trPr>
        <w:tc>
          <w:tcPr>
            <w:tcW w:w="3972"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AAA</w:t>
            </w:r>
          </w:p>
        </w:tc>
        <w:tc>
          <w:tcPr>
            <w:tcW w:w="3961"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45%</w:t>
            </w:r>
          </w:p>
        </w:tc>
      </w:tr>
      <w:tr w:rsidR="005B2C61" w:rsidRPr="005B2C61" w:rsidTr="004051EC">
        <w:trPr>
          <w:trHeight w:val="282"/>
        </w:trPr>
        <w:tc>
          <w:tcPr>
            <w:tcW w:w="3972"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AA &amp; A</w:t>
            </w:r>
          </w:p>
        </w:tc>
        <w:tc>
          <w:tcPr>
            <w:tcW w:w="3961"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35%</w:t>
            </w:r>
          </w:p>
        </w:tc>
      </w:tr>
      <w:tr w:rsidR="005B2C61" w:rsidRPr="005B2C61" w:rsidTr="004051EC">
        <w:trPr>
          <w:trHeight w:val="282"/>
        </w:trPr>
        <w:tc>
          <w:tcPr>
            <w:tcW w:w="3972"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BBB</w:t>
            </w:r>
          </w:p>
        </w:tc>
        <w:tc>
          <w:tcPr>
            <w:tcW w:w="3961"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20%</w:t>
            </w:r>
          </w:p>
        </w:tc>
      </w:tr>
    </w:tbl>
    <w:p w:rsidR="005B2C61" w:rsidRPr="00EE3A8D" w:rsidRDefault="005B2C61" w:rsidP="004051EC">
      <w:pPr>
        <w:pStyle w:val="Heading2"/>
        <w:spacing w:after="240"/>
        <w:rPr>
          <w:rFonts w:eastAsia="Times New Roman"/>
        </w:rPr>
      </w:pPr>
      <w:r w:rsidRPr="00EE3A8D">
        <w:rPr>
          <w:rFonts w:eastAsia="Times New Roman"/>
        </w:rPr>
        <w:t>Term to Maturity Framework</w:t>
      </w:r>
    </w:p>
    <w:tbl>
      <w:tblPr>
        <w:tblW w:w="7909" w:type="dxa"/>
        <w:tblInd w:w="1423" w:type="dxa"/>
        <w:tblBorders>
          <w:top w:val="single" w:sz="2" w:space="0" w:color="313253" w:themeColor="accent5"/>
          <w:left w:val="single" w:sz="2" w:space="0" w:color="313253" w:themeColor="accent5"/>
          <w:bottom w:val="single" w:sz="2" w:space="0" w:color="313253" w:themeColor="accent5"/>
          <w:right w:val="single" w:sz="2" w:space="0" w:color="313253" w:themeColor="accent5"/>
          <w:insideH w:val="single" w:sz="2" w:space="0" w:color="313253" w:themeColor="accent5"/>
          <w:insideV w:val="single" w:sz="2" w:space="0" w:color="313253" w:themeColor="accent5"/>
        </w:tblBorders>
        <w:tblLook w:val="04A0" w:firstRow="1" w:lastRow="0" w:firstColumn="1" w:lastColumn="0" w:noHBand="0" w:noVBand="1"/>
      </w:tblPr>
      <w:tblGrid>
        <w:gridCol w:w="2730"/>
        <w:gridCol w:w="2519"/>
        <w:gridCol w:w="2660"/>
      </w:tblGrid>
      <w:tr w:rsidR="004051EC" w:rsidRPr="004051EC" w:rsidTr="004051EC">
        <w:trPr>
          <w:trHeight w:val="418"/>
        </w:trPr>
        <w:tc>
          <w:tcPr>
            <w:tcW w:w="2730" w:type="dxa"/>
            <w:shd w:val="clear" w:color="auto" w:fill="313253" w:themeFill="accent5"/>
            <w:noWrap/>
            <w:vAlign w:val="center"/>
            <w:hideMark/>
          </w:tcPr>
          <w:p w:rsidR="005B2C61" w:rsidRPr="004051EC" w:rsidRDefault="005B2C61" w:rsidP="004051EC">
            <w:pPr>
              <w:spacing w:before="60" w:after="60"/>
              <w:jc w:val="center"/>
              <w:rPr>
                <w:rFonts w:eastAsia="Times New Roman" w:cs="Arial"/>
                <w:b/>
                <w:color w:val="C1A408" w:themeColor="accent4"/>
              </w:rPr>
            </w:pPr>
            <w:r w:rsidRPr="004051EC">
              <w:rPr>
                <w:rFonts w:eastAsia="Times New Roman" w:cs="Arial"/>
                <w:b/>
                <w:color w:val="C1A408" w:themeColor="accent4"/>
              </w:rPr>
              <w:t>Term</w:t>
            </w:r>
          </w:p>
        </w:tc>
        <w:tc>
          <w:tcPr>
            <w:tcW w:w="2519" w:type="dxa"/>
            <w:shd w:val="clear" w:color="auto" w:fill="313253" w:themeFill="accent5"/>
            <w:noWrap/>
            <w:vAlign w:val="center"/>
            <w:hideMark/>
          </w:tcPr>
          <w:p w:rsidR="005B2C61" w:rsidRPr="004051EC" w:rsidRDefault="005B2C61" w:rsidP="004051EC">
            <w:pPr>
              <w:spacing w:before="60" w:after="60"/>
              <w:jc w:val="center"/>
              <w:rPr>
                <w:rFonts w:eastAsia="Times New Roman" w:cs="Arial"/>
                <w:b/>
                <w:color w:val="C1A408" w:themeColor="accent4"/>
              </w:rPr>
            </w:pPr>
            <w:r w:rsidRPr="004051EC">
              <w:rPr>
                <w:rFonts w:eastAsia="Times New Roman" w:cs="Helvetica-Bold"/>
                <w:b/>
                <w:bCs/>
                <w:color w:val="C1A408" w:themeColor="accent4"/>
              </w:rPr>
              <w:t>Minimum %</w:t>
            </w:r>
          </w:p>
        </w:tc>
        <w:tc>
          <w:tcPr>
            <w:tcW w:w="2660" w:type="dxa"/>
            <w:shd w:val="clear" w:color="auto" w:fill="313253" w:themeFill="accent5"/>
            <w:noWrap/>
            <w:vAlign w:val="center"/>
            <w:hideMark/>
          </w:tcPr>
          <w:p w:rsidR="005B2C61" w:rsidRPr="004051EC" w:rsidRDefault="005B2C61" w:rsidP="004051EC">
            <w:pPr>
              <w:spacing w:before="60" w:after="60"/>
              <w:jc w:val="center"/>
              <w:rPr>
                <w:rFonts w:eastAsia="Times New Roman" w:cs="Arial"/>
                <w:b/>
                <w:color w:val="C1A408" w:themeColor="accent4"/>
              </w:rPr>
            </w:pPr>
            <w:r w:rsidRPr="004051EC">
              <w:rPr>
                <w:rFonts w:eastAsia="Times New Roman" w:cs="Helvetica-Bold"/>
                <w:b/>
                <w:bCs/>
                <w:color w:val="C1A408" w:themeColor="accent4"/>
              </w:rPr>
              <w:t>Maximum %</w:t>
            </w:r>
          </w:p>
        </w:tc>
      </w:tr>
      <w:tr w:rsidR="005B2C61" w:rsidRPr="005B2C61" w:rsidTr="004051EC">
        <w:trPr>
          <w:trHeight w:val="271"/>
        </w:trPr>
        <w:tc>
          <w:tcPr>
            <w:tcW w:w="2730" w:type="dxa"/>
            <w:noWrap/>
            <w:hideMark/>
          </w:tcPr>
          <w:p w:rsidR="005B2C61" w:rsidRPr="005B2C61" w:rsidRDefault="005B2C61" w:rsidP="004051EC">
            <w:pPr>
              <w:spacing w:before="60" w:after="60"/>
              <w:jc w:val="left"/>
              <w:rPr>
                <w:rFonts w:eastAsia="Times New Roman" w:cs="Arial"/>
              </w:rPr>
            </w:pPr>
            <w:r w:rsidRPr="005B2C61">
              <w:rPr>
                <w:rFonts w:eastAsia="Times New Roman" w:cs="Times New Roman"/>
                <w:w w:val="105"/>
              </w:rPr>
              <w:t>Portfolio % ≤1</w:t>
            </w:r>
            <w:r w:rsidRPr="005B2C61">
              <w:rPr>
                <w:rFonts w:eastAsia="Times New Roman" w:cs="Times New Roman"/>
                <w:spacing w:val="-32"/>
                <w:w w:val="105"/>
              </w:rPr>
              <w:t xml:space="preserve"> </w:t>
            </w:r>
            <w:r w:rsidRPr="005B2C61">
              <w:rPr>
                <w:rFonts w:eastAsia="Times New Roman" w:cs="Times New Roman"/>
                <w:w w:val="105"/>
              </w:rPr>
              <w:t>year</w:t>
            </w:r>
          </w:p>
        </w:tc>
        <w:tc>
          <w:tcPr>
            <w:tcW w:w="2519"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40%</w:t>
            </w:r>
          </w:p>
        </w:tc>
        <w:tc>
          <w:tcPr>
            <w:tcW w:w="2660"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100%</w:t>
            </w:r>
          </w:p>
        </w:tc>
      </w:tr>
      <w:tr w:rsidR="005B2C61" w:rsidRPr="005B2C61" w:rsidTr="004051EC">
        <w:trPr>
          <w:trHeight w:val="271"/>
        </w:trPr>
        <w:tc>
          <w:tcPr>
            <w:tcW w:w="2730" w:type="dxa"/>
            <w:noWrap/>
            <w:hideMark/>
          </w:tcPr>
          <w:p w:rsidR="005B2C61" w:rsidRPr="005B2C61" w:rsidRDefault="005B2C61" w:rsidP="004051EC">
            <w:pPr>
              <w:spacing w:before="60" w:after="60"/>
              <w:contextualSpacing/>
              <w:jc w:val="left"/>
              <w:rPr>
                <w:rFonts w:eastAsia="Times New Roman" w:cs="Arial"/>
              </w:rPr>
            </w:pPr>
            <w:r w:rsidRPr="005B2C61">
              <w:rPr>
                <w:rFonts w:eastAsia="Times New Roman" w:cs="Times New Roman"/>
                <w:w w:val="105"/>
              </w:rPr>
              <w:t>Portfolio</w:t>
            </w:r>
            <w:r w:rsidRPr="005B2C61">
              <w:rPr>
                <w:rFonts w:eastAsia="Times New Roman" w:cs="Times New Roman"/>
                <w:spacing w:val="-6"/>
                <w:w w:val="105"/>
              </w:rPr>
              <w:t xml:space="preserve"> </w:t>
            </w:r>
            <w:r w:rsidRPr="005B2C61">
              <w:rPr>
                <w:rFonts w:eastAsia="Times New Roman" w:cs="Times New Roman"/>
                <w:w w:val="105"/>
              </w:rPr>
              <w:t>%</w:t>
            </w:r>
            <w:r w:rsidRPr="005B2C61">
              <w:rPr>
                <w:rFonts w:eastAsia="Times New Roman" w:cs="Times New Roman"/>
                <w:spacing w:val="-10"/>
                <w:w w:val="105"/>
              </w:rPr>
              <w:t xml:space="preserve"> </w:t>
            </w:r>
            <w:r w:rsidRPr="005B2C61">
              <w:rPr>
                <w:rFonts w:eastAsia="Times New Roman" w:cs="Times New Roman"/>
                <w:w w:val="105"/>
              </w:rPr>
              <w:t>&gt;1</w:t>
            </w:r>
            <w:r w:rsidRPr="005B2C61">
              <w:rPr>
                <w:rFonts w:eastAsia="Times New Roman" w:cs="Times New Roman"/>
                <w:spacing w:val="-8"/>
                <w:w w:val="105"/>
              </w:rPr>
              <w:t xml:space="preserve"> </w:t>
            </w:r>
            <w:r w:rsidRPr="005B2C61">
              <w:rPr>
                <w:rFonts w:eastAsia="Times New Roman" w:cs="Times New Roman"/>
                <w:w w:val="105"/>
              </w:rPr>
              <w:t>year</w:t>
            </w:r>
            <w:r w:rsidRPr="005B2C61">
              <w:rPr>
                <w:rFonts w:eastAsia="Times New Roman" w:cs="Times New Roman"/>
                <w:spacing w:val="-8"/>
                <w:w w:val="105"/>
              </w:rPr>
              <w:t xml:space="preserve"> </w:t>
            </w:r>
            <w:r w:rsidRPr="005B2C61">
              <w:rPr>
                <w:rFonts w:eastAsia="Times New Roman" w:cs="Times New Roman"/>
                <w:w w:val="105"/>
              </w:rPr>
              <w:t>≤</w:t>
            </w:r>
            <w:r w:rsidRPr="005B2C61">
              <w:rPr>
                <w:rFonts w:eastAsia="Arial" w:cs="Arial"/>
                <w:spacing w:val="-7"/>
                <w:w w:val="105"/>
              </w:rPr>
              <w:t xml:space="preserve"> </w:t>
            </w:r>
            <w:r w:rsidRPr="005B2C61">
              <w:rPr>
                <w:rFonts w:eastAsia="Times New Roman" w:cs="Times New Roman"/>
                <w:w w:val="105"/>
              </w:rPr>
              <w:t>3</w:t>
            </w:r>
            <w:r w:rsidRPr="005B2C61">
              <w:rPr>
                <w:rFonts w:eastAsia="Times New Roman" w:cs="Times New Roman"/>
                <w:spacing w:val="-8"/>
                <w:w w:val="105"/>
              </w:rPr>
              <w:t xml:space="preserve"> </w:t>
            </w:r>
            <w:r w:rsidRPr="005B2C61">
              <w:rPr>
                <w:rFonts w:eastAsia="Times New Roman" w:cs="Times New Roman"/>
                <w:w w:val="105"/>
              </w:rPr>
              <w:t>year</w:t>
            </w:r>
          </w:p>
        </w:tc>
        <w:tc>
          <w:tcPr>
            <w:tcW w:w="2519"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0%</w:t>
            </w:r>
          </w:p>
        </w:tc>
        <w:tc>
          <w:tcPr>
            <w:tcW w:w="2660" w:type="dxa"/>
            <w:noWrap/>
            <w:vAlign w:val="bottom"/>
            <w:hideMark/>
          </w:tcPr>
          <w:p w:rsidR="005B2C61" w:rsidRPr="005B2C61" w:rsidRDefault="005B2C61" w:rsidP="004051EC">
            <w:pPr>
              <w:spacing w:before="60" w:after="60"/>
              <w:jc w:val="center"/>
              <w:rPr>
                <w:rFonts w:eastAsia="Times New Roman" w:cs="Arial"/>
              </w:rPr>
            </w:pPr>
            <w:r w:rsidRPr="005B2C61">
              <w:rPr>
                <w:rFonts w:eastAsia="Times New Roman" w:cs="Arial"/>
              </w:rPr>
              <w:t>60%</w:t>
            </w:r>
          </w:p>
        </w:tc>
      </w:tr>
    </w:tbl>
    <w:p w:rsidR="00EE3A8D" w:rsidRDefault="00EE3A8D" w:rsidP="005B2C61">
      <w:pPr>
        <w:tabs>
          <w:tab w:val="left" w:pos="420"/>
        </w:tabs>
        <w:jc w:val="left"/>
        <w:rPr>
          <w:rFonts w:eastAsia="Times New Roman" w:cs="Arial"/>
        </w:rPr>
      </w:pPr>
    </w:p>
    <w:p w:rsidR="005B2C61" w:rsidRPr="005B2C61" w:rsidRDefault="005B2C61" w:rsidP="005E1585">
      <w:pPr>
        <w:tabs>
          <w:tab w:val="left" w:pos="420"/>
        </w:tabs>
        <w:spacing w:after="120"/>
        <w:ind w:firstLine="1418"/>
        <w:jc w:val="left"/>
        <w:rPr>
          <w:rFonts w:eastAsia="Times New Roman" w:cs="Arial"/>
        </w:rPr>
      </w:pPr>
      <w:r w:rsidRPr="005B2C61">
        <w:rPr>
          <w:rFonts w:eastAsia="Times New Roman" w:cs="Arial"/>
        </w:rPr>
        <w:t>Standard &amp; Poor’s long-term rating definitions:</w:t>
      </w:r>
    </w:p>
    <w:tbl>
      <w:tblPr>
        <w:tblW w:w="0" w:type="auto"/>
        <w:tblInd w:w="1423" w:type="dxa"/>
        <w:tblBorders>
          <w:top w:val="single" w:sz="2" w:space="0" w:color="313253" w:themeColor="accent5"/>
          <w:left w:val="single" w:sz="2" w:space="0" w:color="313253" w:themeColor="accent5"/>
          <w:bottom w:val="single" w:sz="2" w:space="0" w:color="313253" w:themeColor="accent5"/>
          <w:right w:val="single" w:sz="2" w:space="0" w:color="313253" w:themeColor="accent5"/>
          <w:insideH w:val="single" w:sz="2" w:space="0" w:color="313253" w:themeColor="accent5"/>
          <w:insideV w:val="single" w:sz="2" w:space="0" w:color="313253" w:themeColor="accent5"/>
        </w:tblBorders>
        <w:tblLook w:val="01E0" w:firstRow="1" w:lastRow="1" w:firstColumn="1" w:lastColumn="1" w:noHBand="0" w:noVBand="0"/>
      </w:tblPr>
      <w:tblGrid>
        <w:gridCol w:w="699"/>
        <w:gridCol w:w="7207"/>
      </w:tblGrid>
      <w:tr w:rsidR="005B2C61" w:rsidRPr="005B2C61" w:rsidTr="005E1585">
        <w:tc>
          <w:tcPr>
            <w:tcW w:w="699" w:type="dxa"/>
            <w:hideMark/>
          </w:tcPr>
          <w:p w:rsidR="005B2C61" w:rsidRPr="005D590D" w:rsidRDefault="005B2C61" w:rsidP="005B2C61">
            <w:pPr>
              <w:jc w:val="left"/>
              <w:rPr>
                <w:rFonts w:eastAsia="Times New Roman" w:cs="Times New Roman"/>
              </w:rPr>
            </w:pPr>
            <w:r w:rsidRPr="005D590D">
              <w:rPr>
                <w:rFonts w:eastAsia="Times New Roman" w:cs="Times New Roman"/>
              </w:rPr>
              <w:t>AAA</w:t>
            </w:r>
          </w:p>
        </w:tc>
        <w:tc>
          <w:tcPr>
            <w:tcW w:w="7207" w:type="dxa"/>
            <w:hideMark/>
          </w:tcPr>
          <w:p w:rsidR="005B2C61" w:rsidRPr="005B2C61" w:rsidRDefault="005B2C61" w:rsidP="005E1585">
            <w:pPr>
              <w:spacing w:after="60"/>
              <w:rPr>
                <w:rFonts w:eastAsia="Times New Roman" w:cs="Times New Roman"/>
              </w:rPr>
            </w:pPr>
            <w:r w:rsidRPr="005B2C61">
              <w:rPr>
                <w:rFonts w:eastAsia="Times New Roman" w:cs="Arial"/>
              </w:rPr>
              <w:t>An obligation rated 'AAA' has the highest rating assigned by Standard &amp; Poor's. The obligor's capacity to meet its financial commitment on the obligation is extremely strong.</w:t>
            </w:r>
          </w:p>
        </w:tc>
      </w:tr>
      <w:tr w:rsidR="005B2C61" w:rsidRPr="005B2C61" w:rsidTr="005E1585">
        <w:tc>
          <w:tcPr>
            <w:tcW w:w="699" w:type="dxa"/>
            <w:hideMark/>
          </w:tcPr>
          <w:p w:rsidR="005B2C61" w:rsidRPr="005D590D" w:rsidRDefault="005B2C61" w:rsidP="005B2C61">
            <w:pPr>
              <w:jc w:val="left"/>
              <w:rPr>
                <w:rFonts w:eastAsia="Times New Roman" w:cs="Times New Roman"/>
              </w:rPr>
            </w:pPr>
            <w:r w:rsidRPr="005D590D">
              <w:rPr>
                <w:rFonts w:eastAsia="Times New Roman" w:cs="Times New Roman"/>
              </w:rPr>
              <w:t>AA</w:t>
            </w:r>
          </w:p>
        </w:tc>
        <w:tc>
          <w:tcPr>
            <w:tcW w:w="7207" w:type="dxa"/>
            <w:hideMark/>
          </w:tcPr>
          <w:p w:rsidR="005B2C61" w:rsidRPr="005B2C61" w:rsidRDefault="005B2C61" w:rsidP="005D590D">
            <w:pPr>
              <w:spacing w:before="100" w:beforeAutospacing="1" w:after="60"/>
              <w:rPr>
                <w:rFonts w:eastAsia="Times New Roman" w:cs="Arial"/>
              </w:rPr>
            </w:pPr>
            <w:r w:rsidRPr="005B2C61">
              <w:rPr>
                <w:rFonts w:eastAsia="Times New Roman" w:cs="Arial"/>
              </w:rPr>
              <w:t>An obligation rated 'AA' differs from the highest-rated obligations only to a small degree. The obligor's capacity to meet its financial commitment on the obligation is very strong.</w:t>
            </w:r>
          </w:p>
        </w:tc>
      </w:tr>
      <w:tr w:rsidR="005B2C61" w:rsidRPr="005B2C61" w:rsidTr="005E1585">
        <w:tc>
          <w:tcPr>
            <w:tcW w:w="699" w:type="dxa"/>
            <w:hideMark/>
          </w:tcPr>
          <w:p w:rsidR="005B2C61" w:rsidRPr="005D590D" w:rsidRDefault="005B2C61" w:rsidP="005B2C61">
            <w:pPr>
              <w:jc w:val="left"/>
              <w:rPr>
                <w:rFonts w:eastAsia="Times New Roman" w:cs="Times New Roman"/>
              </w:rPr>
            </w:pPr>
            <w:r w:rsidRPr="005D590D">
              <w:rPr>
                <w:rFonts w:eastAsia="Times New Roman" w:cs="Times New Roman"/>
              </w:rPr>
              <w:t>A</w:t>
            </w:r>
          </w:p>
        </w:tc>
        <w:tc>
          <w:tcPr>
            <w:tcW w:w="7207" w:type="dxa"/>
            <w:hideMark/>
          </w:tcPr>
          <w:p w:rsidR="005B2C61" w:rsidRPr="005B2C61" w:rsidRDefault="005B2C61" w:rsidP="005D590D">
            <w:pPr>
              <w:spacing w:before="100" w:beforeAutospacing="1" w:after="60"/>
              <w:rPr>
                <w:rFonts w:eastAsia="Times New Roman" w:cs="Arial"/>
              </w:rPr>
            </w:pPr>
            <w:r w:rsidRPr="005B2C61">
              <w:rPr>
                <w:rFonts w:eastAsia="Times New Roman" w:cs="Arial"/>
              </w:rPr>
              <w:t>An obligation rated ‘A’ is somewhat more susceptible to the adverse effects of changes in circumstances and economic conditions than obligations in higher rated categories. However, the obligor’s capacity to meet its financial commitment on the obligation is still strong.</w:t>
            </w:r>
          </w:p>
        </w:tc>
      </w:tr>
      <w:tr w:rsidR="005B2C61" w:rsidRPr="005B2C61" w:rsidTr="005E1585">
        <w:tc>
          <w:tcPr>
            <w:tcW w:w="699" w:type="dxa"/>
            <w:hideMark/>
          </w:tcPr>
          <w:p w:rsidR="005B2C61" w:rsidRPr="005D590D" w:rsidRDefault="005B2C61" w:rsidP="005B2C61">
            <w:pPr>
              <w:jc w:val="left"/>
              <w:rPr>
                <w:rFonts w:eastAsia="Times New Roman" w:cs="Times New Roman"/>
              </w:rPr>
            </w:pPr>
            <w:r w:rsidRPr="005D590D">
              <w:rPr>
                <w:rFonts w:eastAsia="Times New Roman" w:cs="Times New Roman"/>
              </w:rPr>
              <w:t>BBB</w:t>
            </w:r>
          </w:p>
        </w:tc>
        <w:tc>
          <w:tcPr>
            <w:tcW w:w="7207" w:type="dxa"/>
            <w:hideMark/>
          </w:tcPr>
          <w:p w:rsidR="005B2C61" w:rsidRPr="005B2C61" w:rsidRDefault="005B2C61" w:rsidP="005E1585">
            <w:pPr>
              <w:spacing w:before="100" w:beforeAutospacing="1" w:after="60"/>
              <w:rPr>
                <w:rFonts w:eastAsia="Times New Roman" w:cs="Arial"/>
              </w:rPr>
            </w:pPr>
            <w:r w:rsidRPr="005B2C61">
              <w:rPr>
                <w:rFonts w:eastAsia="Times New Roman" w:cs="Arial"/>
              </w:rPr>
              <w:t>An obligation rated BBB exhibits adequate protection parameters.  However, adverse economic conditions or changing circumstances are more likely to lead to a weakened capacity to the obligor to meet its financial commitment on the obligation.</w:t>
            </w:r>
          </w:p>
        </w:tc>
      </w:tr>
    </w:tbl>
    <w:p w:rsidR="005B2C61" w:rsidRPr="005E1585" w:rsidRDefault="005B2C61" w:rsidP="005E1585">
      <w:pPr>
        <w:tabs>
          <w:tab w:val="left" w:pos="1418"/>
          <w:tab w:val="left" w:pos="2268"/>
        </w:tabs>
        <w:spacing w:before="240"/>
        <w:jc w:val="left"/>
        <w:rPr>
          <w:rFonts w:eastAsia="Times New Roman" w:cs="Arial"/>
        </w:rPr>
      </w:pPr>
      <w:r w:rsidRPr="005B2C61">
        <w:rPr>
          <w:rFonts w:eastAsia="Times New Roman" w:cs="Arial"/>
        </w:rPr>
        <w:tab/>
        <w:t>Source</w:t>
      </w:r>
      <w:r w:rsidR="005E1585">
        <w:rPr>
          <w:rFonts w:eastAsia="Times New Roman" w:cs="Arial"/>
        </w:rPr>
        <w:tab/>
      </w:r>
      <w:r w:rsidRPr="005E1585">
        <w:rPr>
          <w:rFonts w:eastAsia="Times New Roman" w:cs="Arial"/>
        </w:rPr>
        <w:t>http://www.standardandpoors.com</w:t>
      </w:r>
    </w:p>
    <w:p w:rsidR="005E1585" w:rsidRDefault="005E1585">
      <w:pPr>
        <w:spacing w:after="200" w:line="276" w:lineRule="auto"/>
        <w:jc w:val="left"/>
        <w:rPr>
          <w:rFonts w:asciiTheme="majorHAnsi" w:eastAsia="Times New Roman" w:hAnsiTheme="majorHAnsi" w:cstheme="majorBidi"/>
          <w:b/>
          <w:color w:val="313253" w:themeColor="accent5"/>
          <w:sz w:val="24"/>
          <w:szCs w:val="32"/>
          <w:lang w:val="en-US"/>
        </w:rPr>
      </w:pPr>
      <w:r>
        <w:rPr>
          <w:rFonts w:eastAsia="Times New Roman"/>
        </w:rPr>
        <w:br w:type="page"/>
      </w:r>
    </w:p>
    <w:p w:rsidR="005B2C61" w:rsidRPr="005B2C61" w:rsidRDefault="005B2C61" w:rsidP="005E1585">
      <w:pPr>
        <w:pStyle w:val="Heading1"/>
        <w:rPr>
          <w:rFonts w:eastAsia="Times New Roman"/>
        </w:rPr>
      </w:pPr>
      <w:r w:rsidRPr="005B2C61">
        <w:rPr>
          <w:rFonts w:eastAsia="Times New Roman"/>
        </w:rPr>
        <w:lastRenderedPageBreak/>
        <w:t>Measurement</w:t>
      </w:r>
    </w:p>
    <w:p w:rsidR="005B2C61" w:rsidRPr="005B2C61" w:rsidRDefault="005B2C61" w:rsidP="005E1585">
      <w:pPr>
        <w:autoSpaceDE w:val="0"/>
        <w:autoSpaceDN w:val="0"/>
        <w:adjustRightInd w:val="0"/>
        <w:spacing w:after="240"/>
        <w:ind w:left="567"/>
        <w:rPr>
          <w:rFonts w:eastAsia="Times New Roman" w:cs="Arial"/>
          <w:color w:val="000000"/>
        </w:rPr>
      </w:pPr>
      <w:r w:rsidRPr="005B2C61">
        <w:rPr>
          <w:rFonts w:eastAsia="Times New Roman" w:cs="Arial"/>
          <w:color w:val="000000"/>
        </w:rPr>
        <w:t>The investment return for the portfolio is to be regularly reviewed.  The market value and investment maturities are to be assessed at least once a month to coincide with management reporting.</w:t>
      </w:r>
    </w:p>
    <w:p w:rsidR="005B2C61" w:rsidRPr="005B2C61" w:rsidRDefault="005B2C61" w:rsidP="005E1585">
      <w:pPr>
        <w:pStyle w:val="Heading1"/>
        <w:rPr>
          <w:rFonts w:eastAsia="Times New Roman"/>
        </w:rPr>
      </w:pPr>
      <w:r w:rsidRPr="005B2C61">
        <w:rPr>
          <w:rFonts w:eastAsia="Times New Roman"/>
        </w:rPr>
        <w:t>Procedures</w:t>
      </w:r>
    </w:p>
    <w:p w:rsidR="005B2C61" w:rsidRPr="005B2C61" w:rsidRDefault="005B2C61" w:rsidP="005E1585">
      <w:pPr>
        <w:autoSpaceDE w:val="0"/>
        <w:autoSpaceDN w:val="0"/>
        <w:adjustRightInd w:val="0"/>
        <w:spacing w:after="240"/>
        <w:ind w:left="567"/>
        <w:rPr>
          <w:rFonts w:eastAsia="Times New Roman" w:cs="Arial"/>
          <w:color w:val="000000"/>
        </w:rPr>
      </w:pPr>
      <w:r w:rsidRPr="005B2C61">
        <w:rPr>
          <w:rFonts w:eastAsia="Times New Roman" w:cs="Arial"/>
          <w:color w:val="000000"/>
        </w:rPr>
        <w:t xml:space="preserve">Investments placed by Council’s authorised advisor/s and managers must be appropriately documented at the time of placement. </w:t>
      </w:r>
    </w:p>
    <w:p w:rsidR="005B2C61" w:rsidRPr="005B2C61" w:rsidRDefault="005B2C61" w:rsidP="005E1585">
      <w:pPr>
        <w:autoSpaceDE w:val="0"/>
        <w:autoSpaceDN w:val="0"/>
        <w:adjustRightInd w:val="0"/>
        <w:spacing w:after="240"/>
        <w:ind w:left="567"/>
        <w:rPr>
          <w:rFonts w:eastAsia="Times New Roman" w:cs="Arial"/>
          <w:color w:val="000000"/>
        </w:rPr>
      </w:pPr>
      <w:r w:rsidRPr="005B2C61">
        <w:rPr>
          <w:rFonts w:eastAsia="Times New Roman" w:cs="Arial"/>
          <w:color w:val="000000"/>
        </w:rPr>
        <w:t xml:space="preserve">Appropriate procedures and controls in regards to record keeping, reconciliation, authorisation forms and accounting for investments shall be prepared and maintained to give effect to this policy. </w:t>
      </w:r>
    </w:p>
    <w:p w:rsidR="005B2C61" w:rsidRPr="005B2C61" w:rsidRDefault="005B2C61" w:rsidP="005E1585">
      <w:pPr>
        <w:autoSpaceDE w:val="0"/>
        <w:autoSpaceDN w:val="0"/>
        <w:adjustRightInd w:val="0"/>
        <w:spacing w:after="240"/>
        <w:ind w:left="567"/>
        <w:rPr>
          <w:rFonts w:eastAsia="Times New Roman" w:cs="Arial"/>
          <w:color w:val="000000"/>
        </w:rPr>
      </w:pPr>
      <w:r w:rsidRPr="005B2C61">
        <w:rPr>
          <w:rFonts w:eastAsia="Times New Roman" w:cs="Arial"/>
          <w:color w:val="000000"/>
        </w:rPr>
        <w:t>All investments must be authorised in writing by the CEO, or EMRC’s authorised managers as per the CEO’s delegated authority, prior to the investments being made.</w:t>
      </w:r>
    </w:p>
    <w:p w:rsidR="005B2C61" w:rsidRPr="005B2C61" w:rsidRDefault="005B2C61" w:rsidP="005E1585">
      <w:pPr>
        <w:pStyle w:val="Heading1"/>
        <w:rPr>
          <w:rFonts w:eastAsia="Times New Roman"/>
        </w:rPr>
      </w:pPr>
      <w:r w:rsidRPr="005B2C61">
        <w:rPr>
          <w:rFonts w:eastAsia="Times New Roman"/>
        </w:rPr>
        <w:t>Reporting</w:t>
      </w:r>
    </w:p>
    <w:p w:rsidR="005B2C61" w:rsidRPr="005B2C61" w:rsidRDefault="005B2C61" w:rsidP="005E1585">
      <w:pPr>
        <w:autoSpaceDE w:val="0"/>
        <w:autoSpaceDN w:val="0"/>
        <w:adjustRightInd w:val="0"/>
        <w:spacing w:after="240"/>
        <w:ind w:left="567"/>
        <w:rPr>
          <w:rFonts w:eastAsia="Times New Roman" w:cs="Arial"/>
          <w:color w:val="000000"/>
        </w:rPr>
      </w:pPr>
      <w:r w:rsidRPr="005B2C61">
        <w:rPr>
          <w:rFonts w:eastAsia="Times New Roman" w:cs="Arial"/>
          <w:color w:val="000000"/>
        </w:rPr>
        <w:t>An investment report is to be prepared each month detailing compliance with the criteria outlined in this policy.</w:t>
      </w:r>
    </w:p>
    <w:p w:rsidR="005B2C61" w:rsidRPr="005E1585" w:rsidRDefault="005B2C61" w:rsidP="005E1585">
      <w:pPr>
        <w:autoSpaceDE w:val="0"/>
        <w:autoSpaceDN w:val="0"/>
        <w:adjustRightInd w:val="0"/>
        <w:spacing w:after="240"/>
        <w:ind w:left="567"/>
        <w:rPr>
          <w:rFonts w:eastAsia="Times New Roman" w:cs="Arial"/>
          <w:color w:val="000000"/>
        </w:rPr>
      </w:pPr>
      <w:r w:rsidRPr="005B2C61">
        <w:rPr>
          <w:rFonts w:eastAsia="Times New Roman" w:cs="Arial"/>
          <w:color w:val="000000"/>
        </w:rPr>
        <w:t xml:space="preserve">The investment report is to be presented to Council at the next ordinary meeting of the Council following the end of the month to which the report relates. If the statement is not prepared in time to present it to that meeting it is to be presented at the next Ordinary Meeting of the Council following that meeting. </w:t>
      </w:r>
    </w:p>
    <w:p w:rsidR="005B2C61" w:rsidRPr="005B2C61" w:rsidRDefault="005B2C61" w:rsidP="005E1585">
      <w:pPr>
        <w:pStyle w:val="Heading1"/>
        <w:rPr>
          <w:rFonts w:eastAsia="Times New Roman"/>
        </w:rPr>
      </w:pPr>
      <w:r w:rsidRPr="005B2C61">
        <w:rPr>
          <w:rFonts w:eastAsia="Times New Roman"/>
        </w:rPr>
        <w:t>Investment Advisor</w:t>
      </w:r>
    </w:p>
    <w:p w:rsidR="005B2C61" w:rsidRPr="005B2C61" w:rsidRDefault="005B2C61" w:rsidP="005E1585">
      <w:pPr>
        <w:autoSpaceDE w:val="0"/>
        <w:autoSpaceDN w:val="0"/>
        <w:adjustRightInd w:val="0"/>
        <w:spacing w:after="240"/>
        <w:ind w:left="567"/>
        <w:rPr>
          <w:rFonts w:eastAsia="Times New Roman" w:cs="Arial"/>
          <w:color w:val="000000"/>
        </w:rPr>
      </w:pPr>
      <w:r w:rsidRPr="005B2C61">
        <w:rPr>
          <w:rFonts w:eastAsia="Times New Roman" w:cs="Arial"/>
          <w:color w:val="000000"/>
        </w:rPr>
        <w:t>The CEO has delegated authority to appoint an investment adviser when considered appropriate.</w:t>
      </w:r>
    </w:p>
    <w:p w:rsidR="005B2C61" w:rsidRPr="005B2C61" w:rsidRDefault="005B2C61" w:rsidP="005E1585">
      <w:pPr>
        <w:autoSpaceDE w:val="0"/>
        <w:autoSpaceDN w:val="0"/>
        <w:adjustRightInd w:val="0"/>
        <w:spacing w:after="240"/>
        <w:ind w:left="567"/>
        <w:rPr>
          <w:rFonts w:eastAsia="Times New Roman" w:cs="Arial"/>
          <w:color w:val="000000"/>
        </w:rPr>
      </w:pPr>
      <w:r w:rsidRPr="005B2C61">
        <w:rPr>
          <w:rFonts w:eastAsia="Times New Roman" w:cs="Arial"/>
          <w:color w:val="000000"/>
        </w:rPr>
        <w:t>The local government’s investment advisor must be licensed by the Australian Securities and Investment Commission.  The advisor must be an independent person who has no actual or potential conflict of interest in relation to investment products being recommended; and is free to choose the most appropriate product within the terms and conditions of the investment policy.</w:t>
      </w:r>
    </w:p>
    <w:p w:rsidR="005B2C61" w:rsidRPr="005B2C61" w:rsidRDefault="005B2C61" w:rsidP="005E1585">
      <w:pPr>
        <w:pStyle w:val="Heading1"/>
        <w:rPr>
          <w:rFonts w:eastAsia="Times New Roman"/>
        </w:rPr>
      </w:pPr>
      <w:r w:rsidRPr="005B2C61">
        <w:rPr>
          <w:rFonts w:eastAsia="Times New Roman"/>
        </w:rPr>
        <w:t>Investment Strategy</w:t>
      </w:r>
    </w:p>
    <w:p w:rsidR="005B2C61" w:rsidRPr="005E1585" w:rsidRDefault="005B2C61" w:rsidP="005E1585">
      <w:pPr>
        <w:autoSpaceDE w:val="0"/>
        <w:autoSpaceDN w:val="0"/>
        <w:adjustRightInd w:val="0"/>
        <w:spacing w:after="240"/>
        <w:ind w:left="567"/>
        <w:rPr>
          <w:rFonts w:eastAsia="Times New Roman" w:cs="Arial"/>
          <w:color w:val="000000"/>
        </w:rPr>
      </w:pPr>
      <w:r w:rsidRPr="005E1585">
        <w:rPr>
          <w:rFonts w:eastAsia="Times New Roman" w:cs="Arial"/>
          <w:color w:val="000000"/>
        </w:rPr>
        <w:t>EMRC’s investment strategy is to optimise investment income within its acceptable levels of risk whilst ensuring the security of these funds enabling the EMRC to meet its business objectives.</w:t>
      </w:r>
    </w:p>
    <w:p w:rsidR="005B2C61" w:rsidRPr="005E1585" w:rsidRDefault="005B2C61" w:rsidP="005E1585">
      <w:pPr>
        <w:autoSpaceDE w:val="0"/>
        <w:autoSpaceDN w:val="0"/>
        <w:adjustRightInd w:val="0"/>
        <w:spacing w:after="240"/>
        <w:ind w:left="567"/>
        <w:rPr>
          <w:rFonts w:eastAsia="Times New Roman" w:cs="Arial"/>
          <w:color w:val="000000"/>
        </w:rPr>
      </w:pPr>
      <w:r w:rsidRPr="005E1585">
        <w:rPr>
          <w:rFonts w:eastAsia="Times New Roman" w:cs="Arial"/>
          <w:color w:val="000000"/>
        </w:rPr>
        <w:t xml:space="preserve">Key considerations in this regard include funding requirements identified in the </w:t>
      </w:r>
      <w:proofErr w:type="gramStart"/>
      <w:r w:rsidRPr="005E1585">
        <w:rPr>
          <w:rFonts w:eastAsia="Times New Roman" w:cs="Arial"/>
          <w:color w:val="000000"/>
        </w:rPr>
        <w:t>Five Year</w:t>
      </w:r>
      <w:proofErr w:type="gramEnd"/>
      <w:r w:rsidRPr="005E1585">
        <w:rPr>
          <w:rFonts w:eastAsia="Times New Roman" w:cs="Arial"/>
          <w:color w:val="000000"/>
        </w:rPr>
        <w:t xml:space="preserve"> Plan.</w:t>
      </w:r>
    </w:p>
    <w:p w:rsidR="005B2C61" w:rsidRPr="005E1585" w:rsidRDefault="005B2C61" w:rsidP="005E1585">
      <w:pPr>
        <w:autoSpaceDE w:val="0"/>
        <w:autoSpaceDN w:val="0"/>
        <w:adjustRightInd w:val="0"/>
        <w:spacing w:after="240"/>
        <w:ind w:left="567"/>
        <w:rPr>
          <w:rFonts w:eastAsia="Times New Roman" w:cs="Arial"/>
          <w:color w:val="000000"/>
        </w:rPr>
      </w:pPr>
      <w:r w:rsidRPr="005E1585">
        <w:rPr>
          <w:rFonts w:eastAsia="Times New Roman" w:cs="Arial"/>
          <w:color w:val="000000"/>
        </w:rPr>
        <w:t xml:space="preserve">To implement the requirement for diversification, Council’s authorised advisors and managers will comply with the Overall Portfolio Limits, Single Entity Exposure, and Term to Maturity limits, as detailed in section 7(a)(b)(c). </w:t>
      </w:r>
    </w:p>
    <w:p w:rsidR="005B2C61" w:rsidRPr="005E1585" w:rsidRDefault="005B2C61" w:rsidP="005E1585">
      <w:pPr>
        <w:autoSpaceDE w:val="0"/>
        <w:autoSpaceDN w:val="0"/>
        <w:adjustRightInd w:val="0"/>
        <w:spacing w:after="240"/>
        <w:ind w:left="567"/>
        <w:rPr>
          <w:rFonts w:eastAsia="Times New Roman" w:cs="Arial"/>
          <w:color w:val="000000"/>
        </w:rPr>
      </w:pPr>
      <w:r w:rsidRPr="005E1585">
        <w:rPr>
          <w:rFonts w:eastAsia="Times New Roman" w:cs="Arial"/>
          <w:color w:val="000000"/>
        </w:rPr>
        <w:t>The EMRC may invest all of the total investments in Commonwealth/State/Territory bonds.</w:t>
      </w:r>
    </w:p>
    <w:p w:rsidR="005B2C61" w:rsidRPr="005E1585" w:rsidRDefault="005B2C61" w:rsidP="005E1585">
      <w:pPr>
        <w:autoSpaceDE w:val="0"/>
        <w:autoSpaceDN w:val="0"/>
        <w:adjustRightInd w:val="0"/>
        <w:spacing w:after="240"/>
        <w:ind w:left="567"/>
        <w:rPr>
          <w:rFonts w:eastAsia="Times New Roman" w:cs="Arial"/>
          <w:color w:val="000000"/>
        </w:rPr>
      </w:pPr>
      <w:r w:rsidRPr="005E1585">
        <w:rPr>
          <w:rFonts w:eastAsia="Times New Roman" w:cs="Arial"/>
          <w:color w:val="000000"/>
        </w:rPr>
        <w:t>An indicative sample list of complying authorised deposit-taking institutions (ADI’s) is reflected in the Appendix and may vary from time to time</w:t>
      </w:r>
    </w:p>
    <w:p w:rsidR="005E1585" w:rsidRDefault="005E1585">
      <w:pPr>
        <w:spacing w:after="200" w:line="276" w:lineRule="auto"/>
        <w:jc w:val="left"/>
        <w:rPr>
          <w:b/>
          <w:color w:val="C1A408" w:themeColor="accent4"/>
          <w:sz w:val="28"/>
          <w:szCs w:val="28"/>
        </w:rPr>
      </w:pPr>
      <w:r>
        <w:br w:type="page"/>
      </w:r>
    </w:p>
    <w:p w:rsidR="00030EEE" w:rsidRPr="00030EEE" w:rsidRDefault="00030EEE" w:rsidP="00030EEE">
      <w:pPr>
        <w:pStyle w:val="3CoverPageTitle"/>
      </w:pPr>
      <w:r>
        <w:lastRenderedPageBreak/>
        <w:t>Financial Considerations</w:t>
      </w:r>
    </w:p>
    <w:p w:rsidR="005C2036" w:rsidRPr="005C2036" w:rsidRDefault="005C2036" w:rsidP="005E1585">
      <w:pPr>
        <w:spacing w:after="240"/>
        <w:rPr>
          <w:rFonts w:ascii="Arial" w:eastAsia="Times New Roman" w:hAnsi="Arial" w:cs="Arial"/>
          <w:sz w:val="20"/>
          <w:szCs w:val="20"/>
        </w:rPr>
      </w:pPr>
      <w:r w:rsidRPr="005C2036">
        <w:rPr>
          <w:rFonts w:ascii="Arial" w:eastAsia="Times New Roman" w:hAnsi="Arial" w:cs="Arial"/>
          <w:sz w:val="20"/>
          <w:szCs w:val="20"/>
        </w:rPr>
        <w:t>As indicated in this policy.</w:t>
      </w:r>
    </w:p>
    <w:p w:rsidR="005C2036" w:rsidRPr="005C2036" w:rsidRDefault="005C2036" w:rsidP="005C2036">
      <w:pPr>
        <w:jc w:val="left"/>
        <w:outlineLvl w:val="0"/>
        <w:rPr>
          <w:rFonts w:eastAsia="Times New Roman" w:cs="Arial"/>
          <w:b/>
          <w:color w:val="000000"/>
          <w:kern w:val="28"/>
        </w:rPr>
      </w:pPr>
      <w:r w:rsidRPr="005C2036">
        <w:rPr>
          <w:rFonts w:eastAsia="Times New Roman" w:cs="Arial"/>
          <w:b/>
          <w:color w:val="000000"/>
          <w:kern w:val="28"/>
        </w:rPr>
        <w:t>Appendix:  Indicative Sample List of Compliant Authorised Deposit-Taking Institutions (ADI’s)</w:t>
      </w:r>
    </w:p>
    <w:p w:rsidR="005C2036" w:rsidRPr="005C2036" w:rsidRDefault="005C2036" w:rsidP="005C2036">
      <w:pPr>
        <w:jc w:val="left"/>
        <w:outlineLvl w:val="0"/>
        <w:rPr>
          <w:rFonts w:eastAsia="Times New Roman" w:cs="Arial"/>
          <w:b/>
          <w:color w:val="000000"/>
          <w:kern w:val="28"/>
        </w:rPr>
      </w:pPr>
    </w:p>
    <w:p w:rsidR="005C2036" w:rsidRPr="005C2036" w:rsidRDefault="005C2036" w:rsidP="005C2036">
      <w:pPr>
        <w:jc w:val="left"/>
        <w:outlineLvl w:val="0"/>
        <w:rPr>
          <w:rFonts w:eastAsia="Times New Roman" w:cs="Arial"/>
          <w:b/>
          <w:color w:val="B08E00"/>
          <w:kern w:val="28"/>
        </w:rPr>
      </w:pPr>
      <w:r w:rsidRPr="005C2036">
        <w:rPr>
          <w:rFonts w:eastAsia="Times New Roman" w:cs="Arial"/>
          <w:b/>
          <w:color w:val="B08E00"/>
          <w:kern w:val="28"/>
        </w:rPr>
        <w:t xml:space="preserve">As at August 2021:  </w:t>
      </w:r>
    </w:p>
    <w:p w:rsidR="005C2036" w:rsidRPr="005C2036" w:rsidRDefault="005C2036" w:rsidP="005C2036">
      <w:pPr>
        <w:spacing w:before="7" w:line="190" w:lineRule="exact"/>
        <w:jc w:val="left"/>
        <w:rPr>
          <w:rFonts w:eastAsia="Times New Roman" w:cs="Arial"/>
        </w:rPr>
      </w:pPr>
    </w:p>
    <w:tbl>
      <w:tblPr>
        <w:tblW w:w="9781" w:type="dxa"/>
        <w:tblInd w:w="-5" w:type="dxa"/>
        <w:tblBorders>
          <w:top w:val="single" w:sz="4" w:space="0" w:color="313253" w:themeColor="accent5"/>
          <w:left w:val="single" w:sz="4" w:space="0" w:color="313253" w:themeColor="accent5"/>
          <w:bottom w:val="single" w:sz="4" w:space="0" w:color="313253" w:themeColor="accent5"/>
          <w:right w:val="single" w:sz="4" w:space="0" w:color="313253" w:themeColor="accent5"/>
          <w:insideH w:val="single" w:sz="4" w:space="0" w:color="313253" w:themeColor="accent5"/>
          <w:insideV w:val="single" w:sz="4" w:space="0" w:color="313253" w:themeColor="accent5"/>
        </w:tblBorders>
        <w:tblLook w:val="04A0" w:firstRow="1" w:lastRow="0" w:firstColumn="1" w:lastColumn="0" w:noHBand="0" w:noVBand="1"/>
      </w:tblPr>
      <w:tblGrid>
        <w:gridCol w:w="3119"/>
        <w:gridCol w:w="3090"/>
        <w:gridCol w:w="3572"/>
      </w:tblGrid>
      <w:tr w:rsidR="005E1585" w:rsidRPr="005E1585" w:rsidTr="005E1585">
        <w:tc>
          <w:tcPr>
            <w:tcW w:w="3119" w:type="dxa"/>
            <w:shd w:val="clear" w:color="auto" w:fill="313253" w:themeFill="accent5"/>
            <w:vAlign w:val="center"/>
            <w:hideMark/>
          </w:tcPr>
          <w:p w:rsidR="005C2036" w:rsidRPr="005E1585" w:rsidRDefault="005C2036" w:rsidP="005E1585">
            <w:pPr>
              <w:widowControl w:val="0"/>
              <w:spacing w:before="60" w:after="60" w:line="276" w:lineRule="auto"/>
              <w:jc w:val="center"/>
              <w:rPr>
                <w:rFonts w:eastAsia="MS Mincho" w:cs="Arial"/>
                <w:b/>
                <w:color w:val="C1A408" w:themeColor="accent4"/>
              </w:rPr>
            </w:pPr>
            <w:r w:rsidRPr="005E1585">
              <w:rPr>
                <w:rFonts w:eastAsia="Arial" w:cs="Arial"/>
                <w:b/>
                <w:color w:val="C1A408" w:themeColor="accent4"/>
                <w:spacing w:val="1"/>
              </w:rPr>
              <w:t>ADI</w:t>
            </w:r>
            <w:r w:rsidRPr="005E1585">
              <w:rPr>
                <w:rFonts w:eastAsia="MS Mincho" w:cs="Arial"/>
                <w:b/>
                <w:color w:val="C1A408" w:themeColor="accent4"/>
              </w:rPr>
              <w:t xml:space="preserve"> Name</w:t>
            </w:r>
          </w:p>
        </w:tc>
        <w:tc>
          <w:tcPr>
            <w:tcW w:w="3090" w:type="dxa"/>
            <w:shd w:val="clear" w:color="auto" w:fill="313253" w:themeFill="accent5"/>
            <w:vAlign w:val="center"/>
            <w:hideMark/>
          </w:tcPr>
          <w:p w:rsidR="005C2036" w:rsidRPr="005E1585" w:rsidRDefault="005C2036" w:rsidP="005E1585">
            <w:pPr>
              <w:widowControl w:val="0"/>
              <w:spacing w:before="60" w:after="60" w:line="276" w:lineRule="auto"/>
              <w:jc w:val="center"/>
              <w:rPr>
                <w:rFonts w:eastAsia="MS Mincho" w:cs="Arial"/>
                <w:b/>
                <w:color w:val="C1A408" w:themeColor="accent4"/>
              </w:rPr>
            </w:pPr>
            <w:r w:rsidRPr="005E1585">
              <w:rPr>
                <w:rFonts w:eastAsia="MS Mincho" w:cs="Arial"/>
                <w:b/>
                <w:color w:val="C1A408" w:themeColor="accent4"/>
              </w:rPr>
              <w:t>Standard &amp; Poor’s Credit Rating (Long/ Short)</w:t>
            </w:r>
          </w:p>
        </w:tc>
        <w:tc>
          <w:tcPr>
            <w:tcW w:w="3572" w:type="dxa"/>
            <w:shd w:val="clear" w:color="auto" w:fill="313253" w:themeFill="accent5"/>
            <w:vAlign w:val="center"/>
            <w:hideMark/>
          </w:tcPr>
          <w:p w:rsidR="005C2036" w:rsidRPr="005E1585" w:rsidRDefault="005C2036" w:rsidP="005E1585">
            <w:pPr>
              <w:widowControl w:val="0"/>
              <w:spacing w:before="60" w:after="60" w:line="276" w:lineRule="auto"/>
              <w:jc w:val="center"/>
              <w:rPr>
                <w:rFonts w:eastAsia="MS Mincho" w:cs="Arial"/>
                <w:b/>
                <w:color w:val="C1A408" w:themeColor="accent4"/>
              </w:rPr>
            </w:pPr>
            <w:r w:rsidRPr="005E1585">
              <w:rPr>
                <w:rFonts w:eastAsia="MS Mincho" w:cs="Arial"/>
                <w:b/>
                <w:color w:val="C1A408" w:themeColor="accent4"/>
              </w:rPr>
              <w:t xml:space="preserve">EMRC Policy Limit </w:t>
            </w:r>
            <w:r w:rsidR="005E1585" w:rsidRPr="005E1585">
              <w:rPr>
                <w:rFonts w:eastAsia="MS Mincho" w:cs="Arial"/>
                <w:b/>
                <w:color w:val="C1A408" w:themeColor="accent4"/>
              </w:rPr>
              <w:t>p</w:t>
            </w:r>
            <w:r w:rsidRPr="005E1585">
              <w:rPr>
                <w:rFonts w:eastAsia="MS Mincho" w:cs="Arial"/>
                <w:b/>
                <w:color w:val="C1A408" w:themeColor="accent4"/>
              </w:rPr>
              <w:t xml:space="preserve">er ADI </w:t>
            </w:r>
            <w:r w:rsidR="005E1585" w:rsidRPr="005E1585">
              <w:rPr>
                <w:rFonts w:eastAsia="MS Mincho" w:cs="Arial"/>
                <w:b/>
                <w:color w:val="C1A408" w:themeColor="accent4"/>
              </w:rPr>
              <w:t>B</w:t>
            </w:r>
            <w:r w:rsidRPr="005E1585">
              <w:rPr>
                <w:rFonts w:eastAsia="MS Mincho" w:cs="Arial"/>
                <w:b/>
                <w:color w:val="C1A408" w:themeColor="accent4"/>
              </w:rPr>
              <w:t xml:space="preserve">ased on </w:t>
            </w:r>
            <w:r w:rsidR="005E1585" w:rsidRPr="005E1585">
              <w:rPr>
                <w:rFonts w:eastAsia="MS Mincho" w:cs="Arial"/>
                <w:b/>
                <w:color w:val="C1A408" w:themeColor="accent4"/>
              </w:rPr>
              <w:t>Short-Term Credit Rating Limits</w:t>
            </w:r>
          </w:p>
        </w:tc>
      </w:tr>
      <w:tr w:rsidR="005C2036" w:rsidRPr="005C2036" w:rsidTr="005E1585">
        <w:tc>
          <w:tcPr>
            <w:tcW w:w="3119" w:type="dxa"/>
            <w:vAlign w:val="center"/>
          </w:tcPr>
          <w:p w:rsidR="005C2036" w:rsidRPr="005C2036" w:rsidRDefault="005C2036" w:rsidP="005E1585">
            <w:pPr>
              <w:widowControl w:val="0"/>
              <w:spacing w:before="60" w:after="60" w:line="276" w:lineRule="auto"/>
              <w:jc w:val="center"/>
              <w:rPr>
                <w:rFonts w:eastAsia="MS Mincho" w:cs="Arial"/>
                <w:b/>
                <w:highlight w:val="yellow"/>
                <w:u w:val="single"/>
              </w:rPr>
            </w:pPr>
            <w:r w:rsidRPr="005C2036">
              <w:rPr>
                <w:rFonts w:eastAsia="MS Mincho" w:cs="Arial"/>
              </w:rPr>
              <w:t>ANZ Banking Group Ltd.</w:t>
            </w:r>
          </w:p>
        </w:tc>
        <w:tc>
          <w:tcPr>
            <w:tcW w:w="3090" w:type="dxa"/>
            <w:vAlign w:val="center"/>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AA-</w:t>
            </w:r>
          </w:p>
        </w:tc>
        <w:tc>
          <w:tcPr>
            <w:tcW w:w="3572" w:type="dxa"/>
            <w:vAlign w:val="center"/>
            <w:hideMark/>
          </w:tcPr>
          <w:p w:rsidR="005C2036" w:rsidRPr="005C2036" w:rsidRDefault="005C2036" w:rsidP="005E1585">
            <w:pPr>
              <w:widowControl w:val="0"/>
              <w:tabs>
                <w:tab w:val="left" w:pos="1117"/>
              </w:tabs>
              <w:spacing w:before="60" w:after="60" w:line="276" w:lineRule="auto"/>
              <w:jc w:val="center"/>
              <w:rPr>
                <w:rFonts w:eastAsia="MS Mincho" w:cs="Arial"/>
                <w:highlight w:val="yellow"/>
              </w:rPr>
            </w:pPr>
            <w:r w:rsidRPr="005C2036">
              <w:rPr>
                <w:rFonts w:eastAsia="MS Mincho" w:cs="Arial"/>
              </w:rPr>
              <w:t>45%</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Bank of Western Australia Ltd.</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AA-</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45%</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Commonwealth Bank of Australia</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AA-</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45%</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National Australia Bank Ltd.</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AA-</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45%</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Westpac Banking Corp.</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AA-</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45%</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Suncorp Metway Ltd</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A+</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35%</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Macquarie Bank Ltd</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A+</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35%</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ING Bank</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A</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35%</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Bank of Queensland</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BBB+</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20%</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Bendigo &amp; Adelaide Bank</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highlight w:val="yellow"/>
              </w:rPr>
            </w:pPr>
            <w:r w:rsidRPr="005C2036">
              <w:rPr>
                <w:rFonts w:eastAsia="MS Mincho" w:cs="Arial"/>
              </w:rPr>
              <w:t>BBB+</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20%</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Rural Bank</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BBB+</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20%</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Great Southern Bank (ex-CUA)</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BBB</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20%</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ME Bank</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BBB</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20%</w:t>
            </w:r>
          </w:p>
        </w:tc>
      </w:tr>
      <w:tr w:rsidR="005C2036" w:rsidRPr="005C2036" w:rsidTr="005E1585">
        <w:tc>
          <w:tcPr>
            <w:tcW w:w="3119"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AMP Bank Ltd</w:t>
            </w:r>
          </w:p>
        </w:tc>
        <w:tc>
          <w:tcPr>
            <w:tcW w:w="3090"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BBB</w:t>
            </w:r>
          </w:p>
        </w:tc>
        <w:tc>
          <w:tcPr>
            <w:tcW w:w="3572" w:type="dxa"/>
            <w:vAlign w:val="center"/>
            <w:hideMark/>
          </w:tcPr>
          <w:p w:rsidR="005C2036" w:rsidRPr="005C2036" w:rsidRDefault="005C2036" w:rsidP="005E1585">
            <w:pPr>
              <w:widowControl w:val="0"/>
              <w:spacing w:before="60" w:after="60" w:line="276" w:lineRule="auto"/>
              <w:jc w:val="center"/>
              <w:rPr>
                <w:rFonts w:eastAsia="MS Mincho" w:cs="Arial"/>
              </w:rPr>
            </w:pPr>
            <w:r w:rsidRPr="005C2036">
              <w:rPr>
                <w:rFonts w:eastAsia="MS Mincho" w:cs="Arial"/>
              </w:rPr>
              <w:t>20%</w:t>
            </w:r>
          </w:p>
        </w:tc>
      </w:tr>
    </w:tbl>
    <w:p w:rsidR="00D96E5D" w:rsidRDefault="00D96E5D" w:rsidP="00D96E5D">
      <w:pPr>
        <w:spacing w:after="240"/>
        <w:rPr>
          <w:rFonts w:eastAsia="Times New Roman" w:cs="Arial"/>
        </w:rPr>
      </w:pPr>
    </w:p>
    <w:p w:rsidR="00B834FF" w:rsidRDefault="00B834FF">
      <w:pPr>
        <w:spacing w:after="200" w:line="276" w:lineRule="auto"/>
        <w:jc w:val="left"/>
        <w:rPr>
          <w:b/>
          <w:color w:val="6B6C6D" w:themeColor="accent3"/>
        </w:rPr>
      </w:pPr>
      <w:r>
        <w:rPr>
          <w:b/>
          <w:color w:val="6B6C6D" w:themeColor="accent3"/>
        </w:rPr>
        <w:br w:type="page"/>
      </w:r>
    </w:p>
    <w:p w:rsidR="00D96E5D" w:rsidRPr="00015177" w:rsidRDefault="00D96E5D" w:rsidP="00B834FF">
      <w:pPr>
        <w:tabs>
          <w:tab w:val="left" w:pos="5103"/>
        </w:tabs>
        <w:spacing w:after="30"/>
        <w:rPr>
          <w:color w:val="6B6C6D" w:themeColor="accent3"/>
        </w:rPr>
      </w:pPr>
      <w:r w:rsidRPr="00F94EDC">
        <w:rPr>
          <w:b/>
          <w:color w:val="6B6C6D" w:themeColor="accent3"/>
        </w:rPr>
        <w:lastRenderedPageBreak/>
        <w:t>Adopted/Reviewed</w:t>
      </w:r>
      <w:r w:rsidRPr="00F94EDC">
        <w:rPr>
          <w:b/>
          <w:color w:val="6B6C6D" w:themeColor="accent3"/>
        </w:rPr>
        <w:tab/>
      </w:r>
      <w:r w:rsidRPr="00015177">
        <w:rPr>
          <w:color w:val="6B6C6D" w:themeColor="accent3"/>
        </w:rPr>
        <w:t>29 June 2000</w:t>
      </w:r>
    </w:p>
    <w:p w:rsidR="00D96E5D" w:rsidRPr="00015177" w:rsidRDefault="00D96E5D" w:rsidP="00B834FF">
      <w:pPr>
        <w:tabs>
          <w:tab w:val="left" w:pos="5103"/>
        </w:tabs>
        <w:spacing w:after="30"/>
        <w:rPr>
          <w:color w:val="6B6C6D" w:themeColor="accent3"/>
        </w:rPr>
      </w:pPr>
      <w:r w:rsidRPr="00015177">
        <w:rPr>
          <w:color w:val="6B6C6D" w:themeColor="accent3"/>
        </w:rPr>
        <w:tab/>
        <w:t>27 July 2000</w:t>
      </w:r>
    </w:p>
    <w:p w:rsidR="00D96E5D" w:rsidRPr="00015177" w:rsidRDefault="00D96E5D" w:rsidP="00B834FF">
      <w:pPr>
        <w:tabs>
          <w:tab w:val="left" w:pos="5103"/>
        </w:tabs>
        <w:spacing w:after="30"/>
        <w:rPr>
          <w:color w:val="6B6C6D" w:themeColor="accent3"/>
        </w:rPr>
      </w:pPr>
      <w:r w:rsidRPr="00015177">
        <w:rPr>
          <w:color w:val="6B6C6D" w:themeColor="accent3"/>
        </w:rPr>
        <w:tab/>
      </w:r>
      <w:r w:rsidR="00B834FF" w:rsidRPr="00015177">
        <w:rPr>
          <w:color w:val="6B6C6D" w:themeColor="accent3"/>
        </w:rPr>
        <w:t>2 May 2002</w:t>
      </w:r>
    </w:p>
    <w:p w:rsidR="00B834FF" w:rsidRPr="00015177" w:rsidRDefault="00B834FF" w:rsidP="00B834FF">
      <w:pPr>
        <w:tabs>
          <w:tab w:val="left" w:pos="5103"/>
        </w:tabs>
        <w:spacing w:after="30"/>
        <w:rPr>
          <w:color w:val="6B6C6D" w:themeColor="accent3"/>
        </w:rPr>
      </w:pPr>
      <w:r w:rsidRPr="00015177">
        <w:rPr>
          <w:color w:val="6B6C6D" w:themeColor="accent3"/>
        </w:rPr>
        <w:tab/>
        <w:t>17 June 2004</w:t>
      </w:r>
    </w:p>
    <w:p w:rsidR="00B834FF" w:rsidRPr="00015177" w:rsidRDefault="00B834FF" w:rsidP="00B834FF">
      <w:pPr>
        <w:tabs>
          <w:tab w:val="left" w:pos="5103"/>
        </w:tabs>
        <w:spacing w:after="30"/>
        <w:rPr>
          <w:color w:val="6B6C6D" w:themeColor="accent3"/>
        </w:rPr>
      </w:pPr>
      <w:r w:rsidRPr="00015177">
        <w:rPr>
          <w:color w:val="6B6C6D" w:themeColor="accent3"/>
        </w:rPr>
        <w:tab/>
        <w:t>23 February 2006</w:t>
      </w:r>
    </w:p>
    <w:p w:rsidR="00B834FF" w:rsidRPr="00015177" w:rsidRDefault="00B834FF" w:rsidP="00B834FF">
      <w:pPr>
        <w:tabs>
          <w:tab w:val="left" w:pos="5103"/>
        </w:tabs>
        <w:spacing w:after="30"/>
        <w:ind w:left="5103" w:hanging="5103"/>
        <w:rPr>
          <w:color w:val="6B6C6D" w:themeColor="accent3"/>
        </w:rPr>
      </w:pPr>
      <w:r w:rsidRPr="00015177">
        <w:rPr>
          <w:color w:val="6B6C6D" w:themeColor="accent3"/>
        </w:rPr>
        <w:tab/>
        <w:t>18 September 2008 (reported to Council and referred to Investment Committee)</w:t>
      </w:r>
    </w:p>
    <w:p w:rsidR="00B834FF" w:rsidRPr="00015177" w:rsidRDefault="00B834FF" w:rsidP="00B834FF">
      <w:pPr>
        <w:tabs>
          <w:tab w:val="left" w:pos="5103"/>
        </w:tabs>
        <w:spacing w:after="30"/>
        <w:ind w:left="5103" w:hanging="5103"/>
        <w:rPr>
          <w:color w:val="6B6C6D" w:themeColor="accent3"/>
        </w:rPr>
      </w:pPr>
      <w:r w:rsidRPr="00015177">
        <w:rPr>
          <w:color w:val="6B6C6D" w:themeColor="accent3"/>
        </w:rPr>
        <w:tab/>
        <w:t>19 August 2010</w:t>
      </w:r>
    </w:p>
    <w:p w:rsidR="00B834FF" w:rsidRPr="00015177" w:rsidRDefault="00B834FF" w:rsidP="00B834FF">
      <w:pPr>
        <w:tabs>
          <w:tab w:val="left" w:pos="5103"/>
        </w:tabs>
        <w:spacing w:after="30"/>
        <w:ind w:left="5103" w:hanging="5103"/>
        <w:rPr>
          <w:color w:val="6B6C6D" w:themeColor="accent3"/>
        </w:rPr>
      </w:pPr>
      <w:r w:rsidRPr="00015177">
        <w:rPr>
          <w:color w:val="6B6C6D" w:themeColor="accent3"/>
        </w:rPr>
        <w:tab/>
        <w:t>23 September 2010</w:t>
      </w:r>
    </w:p>
    <w:p w:rsidR="00B834FF" w:rsidRPr="00015177" w:rsidRDefault="00B834FF" w:rsidP="00B834FF">
      <w:pPr>
        <w:tabs>
          <w:tab w:val="left" w:pos="5103"/>
        </w:tabs>
        <w:spacing w:after="30"/>
        <w:ind w:left="5103" w:hanging="5103"/>
        <w:rPr>
          <w:color w:val="6B6C6D" w:themeColor="accent3"/>
        </w:rPr>
      </w:pPr>
      <w:r w:rsidRPr="00015177">
        <w:rPr>
          <w:color w:val="6B6C6D" w:themeColor="accent3"/>
        </w:rPr>
        <w:tab/>
        <w:t>25 November 2010</w:t>
      </w:r>
    </w:p>
    <w:p w:rsidR="00B834FF" w:rsidRPr="00015177" w:rsidRDefault="00B834FF" w:rsidP="00B834FF">
      <w:pPr>
        <w:tabs>
          <w:tab w:val="left" w:pos="5103"/>
        </w:tabs>
        <w:spacing w:after="30"/>
        <w:ind w:left="5103" w:hanging="5103"/>
        <w:rPr>
          <w:color w:val="6B6C6D" w:themeColor="accent3"/>
        </w:rPr>
      </w:pPr>
      <w:r w:rsidRPr="00015177">
        <w:rPr>
          <w:color w:val="6B6C6D" w:themeColor="accent3"/>
        </w:rPr>
        <w:tab/>
        <w:t>10 May 2012</w:t>
      </w:r>
    </w:p>
    <w:p w:rsidR="00B834FF" w:rsidRPr="00015177" w:rsidRDefault="00B834FF" w:rsidP="00B834FF">
      <w:pPr>
        <w:tabs>
          <w:tab w:val="left" w:pos="5103"/>
        </w:tabs>
        <w:spacing w:after="30"/>
        <w:ind w:left="5103" w:hanging="5103"/>
        <w:rPr>
          <w:color w:val="6B6C6D" w:themeColor="accent3"/>
        </w:rPr>
      </w:pPr>
      <w:r w:rsidRPr="00015177">
        <w:rPr>
          <w:color w:val="6B6C6D" w:themeColor="accent3"/>
        </w:rPr>
        <w:tab/>
        <w:t>6 December 2012</w:t>
      </w:r>
    </w:p>
    <w:p w:rsidR="00B834FF" w:rsidRPr="00015177" w:rsidRDefault="00B834FF" w:rsidP="00B834FF">
      <w:pPr>
        <w:tabs>
          <w:tab w:val="left" w:pos="5103"/>
        </w:tabs>
        <w:spacing w:after="30"/>
        <w:ind w:left="5103" w:hanging="5103"/>
        <w:rPr>
          <w:color w:val="6B6C6D" w:themeColor="accent3"/>
        </w:rPr>
      </w:pPr>
      <w:r w:rsidRPr="00015177">
        <w:rPr>
          <w:color w:val="6B6C6D" w:themeColor="accent3"/>
        </w:rPr>
        <w:tab/>
        <w:t>18 September 2014</w:t>
      </w:r>
    </w:p>
    <w:p w:rsidR="00B834FF" w:rsidRPr="00015177" w:rsidRDefault="00B834FF" w:rsidP="00B834FF">
      <w:pPr>
        <w:tabs>
          <w:tab w:val="left" w:pos="5103"/>
        </w:tabs>
        <w:spacing w:after="30"/>
        <w:ind w:left="5103" w:hanging="5103"/>
        <w:rPr>
          <w:color w:val="6B6C6D" w:themeColor="accent3"/>
        </w:rPr>
      </w:pPr>
      <w:r w:rsidRPr="00015177">
        <w:rPr>
          <w:color w:val="6B6C6D" w:themeColor="accent3"/>
        </w:rPr>
        <w:tab/>
        <w:t>6 December 2018</w:t>
      </w:r>
    </w:p>
    <w:p w:rsidR="00B834FF" w:rsidRPr="00015177" w:rsidRDefault="00B834FF" w:rsidP="00B834FF">
      <w:pPr>
        <w:tabs>
          <w:tab w:val="left" w:pos="5103"/>
        </w:tabs>
        <w:spacing w:after="30"/>
        <w:ind w:left="5103" w:hanging="5103"/>
        <w:rPr>
          <w:color w:val="6B6C6D" w:themeColor="accent3"/>
        </w:rPr>
      </w:pPr>
      <w:r w:rsidRPr="00015177">
        <w:rPr>
          <w:color w:val="6B6C6D" w:themeColor="accent3"/>
        </w:rPr>
        <w:tab/>
        <w:t>21 February 2019</w:t>
      </w:r>
    </w:p>
    <w:p w:rsidR="00B834FF" w:rsidRPr="00015177" w:rsidRDefault="00B834FF" w:rsidP="00B834FF">
      <w:pPr>
        <w:tabs>
          <w:tab w:val="left" w:pos="5103"/>
        </w:tabs>
        <w:spacing w:after="120"/>
        <w:ind w:left="5103" w:hanging="5103"/>
        <w:rPr>
          <w:color w:val="6B6C6D" w:themeColor="accent3"/>
        </w:rPr>
      </w:pPr>
      <w:r w:rsidRPr="00015177">
        <w:rPr>
          <w:color w:val="6B6C6D" w:themeColor="accent3"/>
        </w:rPr>
        <w:tab/>
        <w:t>23 September 2021</w:t>
      </w:r>
    </w:p>
    <w:p w:rsidR="00D96E5D" w:rsidRPr="00F94EDC" w:rsidRDefault="00D96E5D" w:rsidP="00D96E5D">
      <w:pPr>
        <w:tabs>
          <w:tab w:val="left" w:pos="5103"/>
        </w:tabs>
        <w:spacing w:after="120"/>
        <w:rPr>
          <w:b/>
          <w:color w:val="6B6C6D" w:themeColor="accent3"/>
        </w:rPr>
      </w:pPr>
      <w:r w:rsidRPr="00F94EDC">
        <w:rPr>
          <w:b/>
          <w:color w:val="6B6C6D" w:themeColor="accent3"/>
        </w:rPr>
        <w:t>Next Review</w:t>
      </w:r>
      <w:r w:rsidRPr="00F94EDC">
        <w:rPr>
          <w:b/>
          <w:color w:val="6B6C6D" w:themeColor="accent3"/>
        </w:rPr>
        <w:tab/>
      </w:r>
      <w:r w:rsidRPr="00015177">
        <w:rPr>
          <w:color w:val="6B6C6D" w:themeColor="accent3"/>
        </w:rPr>
        <w:t>Following the Ordinary Elections in 2023</w:t>
      </w:r>
    </w:p>
    <w:p w:rsidR="00D96E5D" w:rsidRPr="00015177" w:rsidRDefault="00D96E5D" w:rsidP="00D96E5D">
      <w:pPr>
        <w:tabs>
          <w:tab w:val="left" w:pos="5103"/>
        </w:tabs>
        <w:rPr>
          <w:color w:val="6B6C6D" w:themeColor="accent3"/>
        </w:rPr>
      </w:pPr>
      <w:r w:rsidRPr="00F94EDC">
        <w:rPr>
          <w:b/>
          <w:color w:val="6B6C6D" w:themeColor="accent3"/>
        </w:rPr>
        <w:t>Responsible Unit</w:t>
      </w:r>
      <w:r w:rsidRPr="00F94EDC">
        <w:rPr>
          <w:b/>
          <w:color w:val="6B6C6D" w:themeColor="accent3"/>
        </w:rPr>
        <w:tab/>
      </w:r>
      <w:r w:rsidRPr="00015177">
        <w:rPr>
          <w:color w:val="6B6C6D" w:themeColor="accent3"/>
        </w:rPr>
        <w:t>Business Support</w:t>
      </w:r>
    </w:p>
    <w:p w:rsidR="00D96E5D" w:rsidRDefault="00D96E5D" w:rsidP="00D96E5D">
      <w:pPr>
        <w:spacing w:after="240"/>
        <w:rPr>
          <w:rFonts w:eastAsia="Times New Roman" w:cs="Arial"/>
        </w:rPr>
      </w:pPr>
    </w:p>
    <w:sectPr w:rsidR="00D96E5D" w:rsidSect="00D7464B">
      <w:headerReference w:type="default" r:id="rId8"/>
      <w:footerReference w:type="default" r:id="rId9"/>
      <w:headerReference w:type="first" r:id="rId10"/>
      <w:footerReference w:type="first" r:id="rId11"/>
      <w:pgSz w:w="11906" w:h="16838" w:code="9"/>
      <w:pgMar w:top="1985" w:right="851" w:bottom="1134" w:left="1332"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52C" w:rsidRDefault="0080452C" w:rsidP="00615BBA">
      <w:r>
        <w:separator/>
      </w:r>
    </w:p>
  </w:endnote>
  <w:endnote w:type="continuationSeparator" w:id="0">
    <w:p w:rsidR="0080452C" w:rsidRDefault="0080452C"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C6" w:rsidRPr="003878C6" w:rsidRDefault="003878C6" w:rsidP="00F94EDC">
    <w:pPr>
      <w:pStyle w:val="Footer"/>
      <w:pBdr>
        <w:top w:val="none" w:sz="0" w:space="0" w:color="auto"/>
      </w:pBdr>
    </w:pPr>
    <w:r w:rsidRPr="003878C6">
      <w:fldChar w:fldCharType="begin"/>
    </w:r>
    <w:r w:rsidRPr="003878C6">
      <w:instrText xml:space="preserve"> PAGE   \* MERGEFORMAT </w:instrText>
    </w:r>
    <w:r w:rsidRPr="003878C6">
      <w:fldChar w:fldCharType="separate"/>
    </w:r>
    <w:r w:rsidRPr="003878C6">
      <w:t>1</w:t>
    </w:r>
    <w:r w:rsidRPr="003878C6">
      <w:fldChar w:fldCharType="end"/>
    </w:r>
    <w:r w:rsidRPr="003878C6">
      <w:t xml:space="preserve"> |</w:t>
    </w:r>
    <w:r>
      <w:t xml:space="preserve"> </w:t>
    </w:r>
    <w:r w:rsidRPr="003878C6">
      <w:rPr>
        <w:spacing w:val="60"/>
      </w:rPr>
      <w:t>Pag</w:t>
    </w:r>
    <w: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EDC" w:rsidRDefault="00F94EDC" w:rsidP="00F94EDC">
    <w:pPr>
      <w:pStyle w:val="Footer"/>
      <w:pBdr>
        <w:top w:val="none" w:sz="0" w:space="0" w:color="auto"/>
      </w:pBdr>
    </w:pPr>
    <w:r w:rsidRPr="003878C6">
      <w:fldChar w:fldCharType="begin"/>
    </w:r>
    <w:r w:rsidRPr="003878C6">
      <w:instrText xml:space="preserve"> PAGE   \* MERGEFORMAT </w:instrText>
    </w:r>
    <w:r w:rsidRPr="003878C6">
      <w:fldChar w:fldCharType="separate"/>
    </w:r>
    <w:r>
      <w:t>2</w:t>
    </w:r>
    <w:r w:rsidRPr="003878C6">
      <w:fldChar w:fldCharType="end"/>
    </w:r>
    <w:r w:rsidRPr="003878C6">
      <w:t xml:space="preserve"> |</w:t>
    </w:r>
    <w:r>
      <w:t xml:space="preserve"> </w:t>
    </w:r>
    <w:r w:rsidRPr="003878C6">
      <w:rPr>
        <w:spacing w:val="60"/>
      </w:rPr>
      <w:t>Pag</w:t>
    </w:r>
    <w: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52C" w:rsidRDefault="0080452C" w:rsidP="00615BBA">
      <w:r>
        <w:separator/>
      </w:r>
    </w:p>
  </w:footnote>
  <w:footnote w:type="continuationSeparator" w:id="0">
    <w:p w:rsidR="0080452C" w:rsidRDefault="0080452C"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4B" w:rsidRDefault="00D7464B">
    <w:pPr>
      <w:pStyle w:val="Header"/>
    </w:pPr>
    <w:r>
      <w:rPr>
        <w:noProof/>
      </w:rPr>
      <w:drawing>
        <wp:anchor distT="0" distB="0" distL="114300" distR="114300" simplePos="0" relativeHeight="251664896" behindDoc="1" locked="0" layoutInCell="1" allowOverlap="1" wp14:anchorId="0365FFC5" wp14:editId="7B11DD2A">
          <wp:simplePos x="0" y="0"/>
          <wp:positionH relativeFrom="page">
            <wp:posOffset>296116</wp:posOffset>
          </wp:positionH>
          <wp:positionV relativeFrom="page">
            <wp:posOffset>-149860</wp:posOffset>
          </wp:positionV>
          <wp:extent cx="2114550"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
                  <a:srcRect r="72029"/>
                  <a:stretch/>
                </pic:blipFill>
                <pic:spPr bwMode="auto">
                  <a:xfrm>
                    <a:off x="0" y="0"/>
                    <a:ext cx="2114550"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F5" w:rsidRDefault="003878C6" w:rsidP="00BC779E">
    <w:pPr>
      <w:pStyle w:val="Header"/>
    </w:pPr>
    <w:r>
      <w:rPr>
        <w:noProof/>
      </w:rPr>
      <w:drawing>
        <wp:anchor distT="0" distB="0" distL="114300" distR="114300" simplePos="0" relativeHeight="251662848" behindDoc="1" locked="0" layoutInCell="1" allowOverlap="1" wp14:anchorId="01065E49" wp14:editId="06E33332">
          <wp:simplePos x="0" y="0"/>
          <wp:positionH relativeFrom="page">
            <wp:align>right</wp:align>
          </wp:positionH>
          <wp:positionV relativeFrom="page">
            <wp:align>top</wp:align>
          </wp:positionV>
          <wp:extent cx="7560000" cy="10682609"/>
          <wp:effectExtent l="0" t="0" r="3175"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8275-EMRC Letterhead Template-3.png"/>
                  <pic:cNvPicPr/>
                </pic:nvPicPr>
                <pic:blipFill>
                  <a:blip r:embed="rId1"/>
                  <a:stretch>
                    <a:fillRect/>
                  </a:stretch>
                </pic:blipFill>
                <pic:spPr>
                  <a:xfrm>
                    <a:off x="0" y="0"/>
                    <a:ext cx="7560000" cy="106826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C6" w:rsidRDefault="003878C6" w:rsidP="00BC7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7ED7"/>
    <w:multiLevelType w:val="hybridMultilevel"/>
    <w:tmpl w:val="C37ABA54"/>
    <w:lvl w:ilvl="0" w:tplc="0C09000F">
      <w:start w:val="1"/>
      <w:numFmt w:val="decimal"/>
      <w:lvlText w:val="%1."/>
      <w:lvlJc w:val="left"/>
      <w:pPr>
        <w:tabs>
          <w:tab w:val="num" w:pos="360"/>
        </w:tabs>
        <w:ind w:left="360" w:hanging="360"/>
      </w:pPr>
    </w:lvl>
    <w:lvl w:ilvl="1" w:tplc="41DE6BAA">
      <w:start w:val="1"/>
      <w:numFmt w:val="bullet"/>
      <w:lvlText w:val=""/>
      <w:lvlJc w:val="left"/>
      <w:pPr>
        <w:tabs>
          <w:tab w:val="num" w:pos="397"/>
        </w:tabs>
        <w:ind w:left="397" w:hanging="397"/>
      </w:pPr>
      <w:rPr>
        <w:rFonts w:ascii="Symbol" w:hAnsi="Symbol"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 w15:restartNumberingAfterBreak="0">
    <w:nsid w:val="47DB6C6D"/>
    <w:multiLevelType w:val="multilevel"/>
    <w:tmpl w:val="A3742738"/>
    <w:styleLink w:val="Indent1Bullets"/>
    <w:lvl w:ilvl="0">
      <w:start w:val="1"/>
      <w:numFmt w:val="bullet"/>
      <w:pStyle w:val="Indent1Bullet1"/>
      <w:lvlText w:val=""/>
      <w:lvlJc w:val="left"/>
      <w:pPr>
        <w:ind w:left="936" w:hanging="369"/>
      </w:pPr>
      <w:rPr>
        <w:rFonts w:ascii="Wingdings" w:hAnsi="Wingdings" w:hint="default"/>
        <w:color w:val="313253" w:themeColor="accent5"/>
      </w:rPr>
    </w:lvl>
    <w:lvl w:ilvl="1">
      <w:start w:val="1"/>
      <w:numFmt w:val="bullet"/>
      <w:pStyle w:val="Indent1Bullet2"/>
      <w:lvlText w:val=""/>
      <w:lvlJc w:val="left"/>
      <w:pPr>
        <w:ind w:left="1304" w:hanging="368"/>
      </w:pPr>
      <w:rPr>
        <w:rFonts w:ascii="Wingdings" w:hAnsi="Wingdings" w:hint="default"/>
        <w:color w:val="C1A408" w:themeColor="accent4"/>
      </w:rPr>
    </w:lvl>
    <w:lvl w:ilvl="2">
      <w:start w:val="1"/>
      <w:numFmt w:val="bullet"/>
      <w:pStyle w:val="Indent1Bullet3"/>
      <w:lvlText w:val=""/>
      <w:lvlJc w:val="left"/>
      <w:pPr>
        <w:ind w:left="1673"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027265A"/>
    <w:multiLevelType w:val="multilevel"/>
    <w:tmpl w:val="9976BBE8"/>
    <w:styleLink w:val="Bullets"/>
    <w:lvl w:ilvl="0">
      <w:start w:val="1"/>
      <w:numFmt w:val="bullet"/>
      <w:pStyle w:val="EMRCBulletText1"/>
      <w:lvlText w:val=""/>
      <w:lvlJc w:val="left"/>
      <w:pPr>
        <w:ind w:left="369" w:hanging="369"/>
      </w:pPr>
      <w:rPr>
        <w:rFonts w:ascii="Wingdings" w:hAnsi="Wingdings" w:hint="default"/>
        <w:color w:val="313253" w:themeColor="accent5"/>
      </w:rPr>
    </w:lvl>
    <w:lvl w:ilvl="1">
      <w:start w:val="1"/>
      <w:numFmt w:val="bullet"/>
      <w:pStyle w:val="EMRCBulletText2"/>
      <w:lvlText w:val=""/>
      <w:lvlJc w:val="left"/>
      <w:pPr>
        <w:ind w:left="737" w:hanging="368"/>
      </w:pPr>
      <w:rPr>
        <w:rFonts w:ascii="Wingdings" w:hAnsi="Wingdings" w:hint="default"/>
        <w:color w:val="C1A408" w:themeColor="accent4"/>
      </w:rPr>
    </w:lvl>
    <w:lvl w:ilvl="2">
      <w:start w:val="1"/>
      <w:numFmt w:val="bullet"/>
      <w:pStyle w:val="EMRCBulletText3"/>
      <w:lvlText w:val=""/>
      <w:lvlJc w:val="left"/>
      <w:pPr>
        <w:ind w:left="1106"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FA558B0"/>
    <w:multiLevelType w:val="multilevel"/>
    <w:tmpl w:val="270C7736"/>
    <w:numStyleLink w:val="HeadingNumbers"/>
  </w:abstractNum>
  <w:abstractNum w:abstractNumId="4" w15:restartNumberingAfterBreak="0">
    <w:nsid w:val="74EE1209"/>
    <w:multiLevelType w:val="multilevel"/>
    <w:tmpl w:val="270C7736"/>
    <w:styleLink w:val="HeadingNumber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1418"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4"/>
  </w:num>
  <w:num w:numId="2">
    <w:abstractNumId w:val="2"/>
  </w:num>
  <w:num w:numId="3">
    <w:abstractNumId w:val="3"/>
  </w:num>
  <w:num w:numId="4">
    <w:abstractNumId w:val="2"/>
  </w:num>
  <w:num w:numId="5">
    <w:abstractNumId w:val="1"/>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E1"/>
    <w:rsid w:val="0000672B"/>
    <w:rsid w:val="00011D81"/>
    <w:rsid w:val="00015177"/>
    <w:rsid w:val="000230DC"/>
    <w:rsid w:val="00030EEE"/>
    <w:rsid w:val="0003574E"/>
    <w:rsid w:val="00083283"/>
    <w:rsid w:val="000D3355"/>
    <w:rsid w:val="0017381F"/>
    <w:rsid w:val="00180EDE"/>
    <w:rsid w:val="00184472"/>
    <w:rsid w:val="001919DE"/>
    <w:rsid w:val="001B2A05"/>
    <w:rsid w:val="001C412F"/>
    <w:rsid w:val="001E487F"/>
    <w:rsid w:val="001F0FA8"/>
    <w:rsid w:val="002614A1"/>
    <w:rsid w:val="002665E5"/>
    <w:rsid w:val="00291C71"/>
    <w:rsid w:val="002A5B1F"/>
    <w:rsid w:val="002E6F12"/>
    <w:rsid w:val="00347A2D"/>
    <w:rsid w:val="00355BC7"/>
    <w:rsid w:val="0037627F"/>
    <w:rsid w:val="00384508"/>
    <w:rsid w:val="003878C6"/>
    <w:rsid w:val="003D64F5"/>
    <w:rsid w:val="003E6897"/>
    <w:rsid w:val="004051EC"/>
    <w:rsid w:val="00420DEE"/>
    <w:rsid w:val="00422F86"/>
    <w:rsid w:val="004458E3"/>
    <w:rsid w:val="004750C8"/>
    <w:rsid w:val="00585140"/>
    <w:rsid w:val="005B2C61"/>
    <w:rsid w:val="005C2036"/>
    <w:rsid w:val="005C47A3"/>
    <w:rsid w:val="005D2132"/>
    <w:rsid w:val="005D4C43"/>
    <w:rsid w:val="005D590D"/>
    <w:rsid w:val="005E1585"/>
    <w:rsid w:val="00615BBA"/>
    <w:rsid w:val="00620F89"/>
    <w:rsid w:val="00654504"/>
    <w:rsid w:val="006670EB"/>
    <w:rsid w:val="006A32E9"/>
    <w:rsid w:val="0072691A"/>
    <w:rsid w:val="00746687"/>
    <w:rsid w:val="007B6004"/>
    <w:rsid w:val="007C620E"/>
    <w:rsid w:val="007C646F"/>
    <w:rsid w:val="007D45EA"/>
    <w:rsid w:val="007E667C"/>
    <w:rsid w:val="007E6F1E"/>
    <w:rsid w:val="0080452C"/>
    <w:rsid w:val="00817A68"/>
    <w:rsid w:val="008921D5"/>
    <w:rsid w:val="008A3706"/>
    <w:rsid w:val="008B4DC4"/>
    <w:rsid w:val="008B7CD6"/>
    <w:rsid w:val="008C59E0"/>
    <w:rsid w:val="00912938"/>
    <w:rsid w:val="00935655"/>
    <w:rsid w:val="00961CBC"/>
    <w:rsid w:val="009A404E"/>
    <w:rsid w:val="009B6858"/>
    <w:rsid w:val="00A16305"/>
    <w:rsid w:val="00A16568"/>
    <w:rsid w:val="00A52E08"/>
    <w:rsid w:val="00AA0ED3"/>
    <w:rsid w:val="00AC204D"/>
    <w:rsid w:val="00AE7D4D"/>
    <w:rsid w:val="00B32048"/>
    <w:rsid w:val="00B536C9"/>
    <w:rsid w:val="00B567B6"/>
    <w:rsid w:val="00B834FF"/>
    <w:rsid w:val="00BB02C2"/>
    <w:rsid w:val="00BB0C1B"/>
    <w:rsid w:val="00BC779E"/>
    <w:rsid w:val="00C55F0A"/>
    <w:rsid w:val="00CB0E7C"/>
    <w:rsid w:val="00CD4612"/>
    <w:rsid w:val="00CE0CCB"/>
    <w:rsid w:val="00D00A90"/>
    <w:rsid w:val="00D07AE1"/>
    <w:rsid w:val="00D154F5"/>
    <w:rsid w:val="00D31047"/>
    <w:rsid w:val="00D7464B"/>
    <w:rsid w:val="00D767E5"/>
    <w:rsid w:val="00D827EA"/>
    <w:rsid w:val="00D96E5D"/>
    <w:rsid w:val="00DB672D"/>
    <w:rsid w:val="00DC36FF"/>
    <w:rsid w:val="00DD1587"/>
    <w:rsid w:val="00E16C4E"/>
    <w:rsid w:val="00E3426A"/>
    <w:rsid w:val="00EA0B29"/>
    <w:rsid w:val="00EA4C04"/>
    <w:rsid w:val="00EA4D54"/>
    <w:rsid w:val="00EC2F45"/>
    <w:rsid w:val="00EE3102"/>
    <w:rsid w:val="00EE3A8D"/>
    <w:rsid w:val="00F30506"/>
    <w:rsid w:val="00F63C98"/>
    <w:rsid w:val="00F6749A"/>
    <w:rsid w:val="00F67B9B"/>
    <w:rsid w:val="00F723D7"/>
    <w:rsid w:val="00F929E7"/>
    <w:rsid w:val="00F94EDC"/>
    <w:rsid w:val="00FF2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A11684F-83D2-4983-B48C-97097EA1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68"/>
    <w:pPr>
      <w:spacing w:after="0" w:line="240" w:lineRule="auto"/>
      <w:jc w:val="both"/>
    </w:pPr>
  </w:style>
  <w:style w:type="paragraph" w:styleId="Heading1">
    <w:name w:val="heading 1"/>
    <w:next w:val="Normal"/>
    <w:link w:val="Heading1Char"/>
    <w:qFormat/>
    <w:rsid w:val="00420DEE"/>
    <w:pPr>
      <w:keepNext/>
      <w:keepLines/>
      <w:numPr>
        <w:numId w:val="3"/>
      </w:numPr>
      <w:spacing w:before="240" w:after="180" w:line="240" w:lineRule="auto"/>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Normal"/>
    <w:link w:val="Heading2Char"/>
    <w:uiPriority w:val="1"/>
    <w:unhideWhenUsed/>
    <w:qFormat/>
    <w:rsid w:val="00420DEE"/>
    <w:pPr>
      <w:numPr>
        <w:ilvl w:val="1"/>
      </w:numPr>
      <w:outlineLvl w:val="1"/>
    </w:pPr>
    <w:rPr>
      <w:color w:val="C1A408" w:themeColor="accent4"/>
      <w:szCs w:val="26"/>
    </w:rPr>
  </w:style>
  <w:style w:type="paragraph" w:styleId="Heading3">
    <w:name w:val="heading 3"/>
    <w:basedOn w:val="Heading2"/>
    <w:next w:val="Normal"/>
    <w:link w:val="Heading3Char"/>
    <w:uiPriority w:val="9"/>
    <w:unhideWhenUsed/>
    <w:qFormat/>
    <w:rsid w:val="00420DEE"/>
    <w:pPr>
      <w:numPr>
        <w:ilvl w:val="2"/>
      </w:numPr>
      <w:outlineLvl w:val="2"/>
    </w:pPr>
    <w:rPr>
      <w:color w:val="6B6C6D"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DE"/>
    <w:pPr>
      <w:tabs>
        <w:tab w:val="center" w:pos="4820"/>
        <w:tab w:val="right" w:pos="9673"/>
      </w:tabs>
      <w:spacing w:after="240"/>
    </w:pPr>
  </w:style>
  <w:style w:type="character" w:customStyle="1" w:styleId="HeaderChar">
    <w:name w:val="Header Char"/>
    <w:basedOn w:val="DefaultParagraphFont"/>
    <w:link w:val="Header"/>
    <w:uiPriority w:val="99"/>
    <w:rsid w:val="00180EDE"/>
  </w:style>
  <w:style w:type="paragraph" w:styleId="Footer">
    <w:name w:val="footer"/>
    <w:basedOn w:val="Normal"/>
    <w:link w:val="FooterChar"/>
    <w:uiPriority w:val="99"/>
    <w:unhideWhenUsed/>
    <w:rsid w:val="00180EDE"/>
    <w:pPr>
      <w:pBdr>
        <w:top w:val="single" w:sz="4" w:space="1" w:color="313253" w:themeColor="accent5"/>
      </w:pBdr>
      <w:tabs>
        <w:tab w:val="center" w:pos="4820"/>
        <w:tab w:val="right" w:pos="9715"/>
      </w:tabs>
      <w:spacing w:after="240"/>
      <w:jc w:val="right"/>
    </w:pPr>
    <w:rPr>
      <w:color w:val="313253" w:themeColor="accent5"/>
      <w:sz w:val="16"/>
    </w:rPr>
  </w:style>
  <w:style w:type="character" w:customStyle="1" w:styleId="FooterChar">
    <w:name w:val="Footer Char"/>
    <w:basedOn w:val="DefaultParagraphFont"/>
    <w:link w:val="Footer"/>
    <w:uiPriority w:val="99"/>
    <w:rsid w:val="00180EDE"/>
    <w:rPr>
      <w:color w:val="313253" w:themeColor="accent5"/>
      <w:sz w:val="16"/>
    </w:rPr>
  </w:style>
  <w:style w:type="character" w:styleId="Hyperlink">
    <w:name w:val="Hyperlink"/>
    <w:basedOn w:val="DefaultParagraphFont"/>
    <w:uiPriority w:val="99"/>
    <w:unhideWhenUsed/>
    <w:rsid w:val="00D767E5"/>
    <w:rPr>
      <w:color w:val="6B6C6D" w:themeColor="hyperlink"/>
      <w:u w:val="single"/>
    </w:rPr>
  </w:style>
  <w:style w:type="table" w:styleId="TableGrid">
    <w:name w:val="Table Grid"/>
    <w:basedOn w:val="TableNormal"/>
    <w:uiPriority w:val="59"/>
    <w:rsid w:val="00AC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Reference">
    <w:name w:val="OurReference"/>
    <w:basedOn w:val="Normal"/>
    <w:qFormat/>
    <w:rsid w:val="009B6858"/>
    <w:pPr>
      <w:tabs>
        <w:tab w:val="left" w:pos="7797"/>
      </w:tabs>
      <w:ind w:left="6917"/>
    </w:pPr>
    <w:rPr>
      <w:color w:val="313253" w:themeColor="accent5"/>
      <w:sz w:val="18"/>
      <w:szCs w:val="18"/>
    </w:rPr>
  </w:style>
  <w:style w:type="paragraph" w:customStyle="1" w:styleId="SignBlockEMRC">
    <w:name w:val="_Sign Block EMRC"/>
    <w:basedOn w:val="Normal"/>
    <w:next w:val="Normal"/>
    <w:qFormat/>
    <w:rsid w:val="00A16568"/>
    <w:rPr>
      <w:b/>
      <w:bCs/>
      <w:color w:val="313253" w:themeColor="accent5"/>
    </w:rPr>
  </w:style>
  <w:style w:type="paragraph" w:customStyle="1" w:styleId="SignBlockWriterTitle">
    <w:name w:val="_Sign Block Writer Title"/>
    <w:basedOn w:val="Normal"/>
    <w:next w:val="Normal"/>
    <w:qFormat/>
    <w:rsid w:val="009B6858"/>
    <w:rPr>
      <w:color w:val="6B6C6D" w:themeColor="accent3"/>
    </w:rPr>
  </w:style>
  <w:style w:type="paragraph" w:customStyle="1" w:styleId="Subject">
    <w:name w:val="_Subject"/>
    <w:basedOn w:val="Normal"/>
    <w:next w:val="Normal"/>
    <w:qFormat/>
    <w:rsid w:val="009A404E"/>
    <w:rPr>
      <w:rFonts w:ascii="Arial Narrow" w:hAnsi="Arial Narrow"/>
      <w:b/>
    </w:rPr>
  </w:style>
  <w:style w:type="character" w:customStyle="1" w:styleId="Heading1Char">
    <w:name w:val="Heading 1 Char"/>
    <w:basedOn w:val="DefaultParagraphFont"/>
    <w:link w:val="Heading1"/>
    <w:rsid w:val="00420DEE"/>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1"/>
    <w:rsid w:val="00420DEE"/>
    <w:rPr>
      <w:rFonts w:asciiTheme="majorHAnsi" w:eastAsiaTheme="majorEastAsia" w:hAnsiTheme="majorHAnsi" w:cstheme="majorBidi"/>
      <w:b/>
      <w:color w:val="C1A408" w:themeColor="accent4"/>
      <w:sz w:val="24"/>
      <w:szCs w:val="26"/>
      <w:lang w:val="en-US"/>
    </w:rPr>
  </w:style>
  <w:style w:type="numbering" w:customStyle="1" w:styleId="HeadingNumbers">
    <w:name w:val="Heading Numbers"/>
    <w:uiPriority w:val="99"/>
    <w:rsid w:val="007C620E"/>
    <w:pPr>
      <w:numPr>
        <w:numId w:val="1"/>
      </w:numPr>
    </w:pPr>
  </w:style>
  <w:style w:type="paragraph" w:customStyle="1" w:styleId="EMRCBulletText1">
    <w:name w:val="_EMRC Bullet Text 1"/>
    <w:basedOn w:val="Normal"/>
    <w:qFormat/>
    <w:rsid w:val="00180EDE"/>
    <w:pPr>
      <w:numPr>
        <w:numId w:val="4"/>
      </w:numPr>
      <w:spacing w:after="120"/>
    </w:pPr>
  </w:style>
  <w:style w:type="numbering" w:customStyle="1" w:styleId="Bullets">
    <w:name w:val="Bullets"/>
    <w:uiPriority w:val="99"/>
    <w:rsid w:val="00180EDE"/>
    <w:pPr>
      <w:numPr>
        <w:numId w:val="2"/>
      </w:numPr>
    </w:pPr>
  </w:style>
  <w:style w:type="paragraph" w:customStyle="1" w:styleId="EMRCBulletText2">
    <w:name w:val="_EMRC Bullet Text 2"/>
    <w:basedOn w:val="EMRCBulletText1"/>
    <w:qFormat/>
    <w:rsid w:val="00180EDE"/>
    <w:pPr>
      <w:numPr>
        <w:ilvl w:val="1"/>
      </w:numPr>
    </w:pPr>
  </w:style>
  <w:style w:type="paragraph" w:customStyle="1" w:styleId="EMRCBulletText3">
    <w:name w:val="_EMRC Bullet Text 3"/>
    <w:basedOn w:val="EMRCBulletText2"/>
    <w:qFormat/>
    <w:rsid w:val="00180EDE"/>
    <w:pPr>
      <w:numPr>
        <w:ilvl w:val="2"/>
      </w:numPr>
    </w:pPr>
  </w:style>
  <w:style w:type="character" w:styleId="Emphasis">
    <w:name w:val="Emphasis"/>
    <w:basedOn w:val="DefaultParagraphFont"/>
    <w:uiPriority w:val="20"/>
    <w:qFormat/>
    <w:rsid w:val="00BC779E"/>
    <w:rPr>
      <w:i/>
      <w:iCs/>
    </w:rPr>
  </w:style>
  <w:style w:type="character" w:customStyle="1" w:styleId="Heading3Char">
    <w:name w:val="Heading 3 Char"/>
    <w:basedOn w:val="DefaultParagraphFont"/>
    <w:link w:val="Heading3"/>
    <w:uiPriority w:val="9"/>
    <w:rsid w:val="00420DEE"/>
    <w:rPr>
      <w:rFonts w:asciiTheme="majorHAnsi" w:eastAsiaTheme="majorEastAsia" w:hAnsiTheme="majorHAnsi" w:cstheme="majorBidi"/>
      <w:b/>
      <w:color w:val="6B6C6D" w:themeColor="accent3"/>
      <w:sz w:val="24"/>
      <w:szCs w:val="24"/>
      <w:lang w:val="en-US"/>
    </w:rPr>
  </w:style>
  <w:style w:type="paragraph" w:customStyle="1" w:styleId="1CoverPageEMRC">
    <w:name w:val="_1Cover Page EMRC"/>
    <w:basedOn w:val="Normal"/>
    <w:next w:val="Normal"/>
    <w:qFormat/>
    <w:rsid w:val="006670EB"/>
    <w:pPr>
      <w:spacing w:before="960" w:after="240"/>
    </w:pPr>
    <w:rPr>
      <w:rFonts w:asciiTheme="majorHAnsi" w:hAnsiTheme="majorHAnsi"/>
      <w:b/>
      <w:bCs/>
      <w:color w:val="313253" w:themeColor="accent5"/>
      <w:sz w:val="48"/>
      <w:szCs w:val="48"/>
    </w:rPr>
  </w:style>
  <w:style w:type="paragraph" w:customStyle="1" w:styleId="2CoverPageDepartment">
    <w:name w:val="_2Cover Page Department"/>
    <w:basedOn w:val="Normal"/>
    <w:next w:val="Normal"/>
    <w:qFormat/>
    <w:rsid w:val="006670EB"/>
    <w:pPr>
      <w:spacing w:after="240"/>
    </w:pPr>
    <w:rPr>
      <w:b/>
      <w:color w:val="313253" w:themeColor="accent5"/>
      <w:sz w:val="36"/>
      <w:szCs w:val="36"/>
    </w:rPr>
  </w:style>
  <w:style w:type="paragraph" w:customStyle="1" w:styleId="3CoverPageTitle">
    <w:name w:val="_3Cover Page Title"/>
    <w:basedOn w:val="Normal"/>
    <w:next w:val="Normal"/>
    <w:qFormat/>
    <w:rsid w:val="006670EB"/>
    <w:pPr>
      <w:spacing w:after="240"/>
    </w:pPr>
    <w:rPr>
      <w:b/>
      <w:color w:val="C1A408" w:themeColor="accent4"/>
      <w:sz w:val="28"/>
      <w:szCs w:val="28"/>
    </w:rPr>
  </w:style>
  <w:style w:type="paragraph" w:customStyle="1" w:styleId="4CoverPageSubtitle">
    <w:name w:val="_4Cover Page Subtitle"/>
    <w:basedOn w:val="Normal"/>
    <w:next w:val="Normal"/>
    <w:qFormat/>
    <w:rsid w:val="00180EDE"/>
    <w:pPr>
      <w:spacing w:after="480"/>
      <w:jc w:val="center"/>
    </w:pPr>
    <w:rPr>
      <w:b/>
      <w:bCs/>
      <w:color w:val="313253" w:themeColor="accent5"/>
      <w:sz w:val="48"/>
      <w:szCs w:val="48"/>
    </w:rPr>
  </w:style>
  <w:style w:type="paragraph" w:customStyle="1" w:styleId="HeadingNoNumber">
    <w:name w:val="_Heading No Number"/>
    <w:next w:val="Normal"/>
    <w:qFormat/>
    <w:rsid w:val="00180EDE"/>
    <w:pPr>
      <w:spacing w:before="240" w:after="180" w:line="240" w:lineRule="auto"/>
    </w:pPr>
    <w:rPr>
      <w:rFonts w:asciiTheme="majorHAnsi" w:eastAsiaTheme="majorEastAsia" w:hAnsiTheme="majorHAnsi" w:cstheme="majorBidi"/>
      <w:b/>
      <w:color w:val="313253" w:themeColor="accent5"/>
      <w:sz w:val="24"/>
      <w:szCs w:val="32"/>
      <w:lang w:val="en-US"/>
    </w:rPr>
  </w:style>
  <w:style w:type="paragraph" w:customStyle="1" w:styleId="Indent1">
    <w:name w:val="_Indent 1"/>
    <w:basedOn w:val="Normal"/>
    <w:qFormat/>
    <w:rsid w:val="00180EDE"/>
    <w:pPr>
      <w:spacing w:after="240"/>
      <w:ind w:left="567"/>
    </w:pPr>
  </w:style>
  <w:style w:type="paragraph" w:customStyle="1" w:styleId="Indent2">
    <w:name w:val="_Indent 2"/>
    <w:basedOn w:val="Indent1"/>
    <w:qFormat/>
    <w:rsid w:val="00180EDE"/>
    <w:pPr>
      <w:ind w:left="1418"/>
    </w:pPr>
  </w:style>
  <w:style w:type="paragraph" w:customStyle="1" w:styleId="Indent1Bullet1">
    <w:name w:val="_Indent1Bullet1"/>
    <w:basedOn w:val="Normal"/>
    <w:qFormat/>
    <w:rsid w:val="00180EDE"/>
    <w:pPr>
      <w:numPr>
        <w:numId w:val="5"/>
      </w:numPr>
      <w:spacing w:after="120"/>
    </w:pPr>
  </w:style>
  <w:style w:type="paragraph" w:customStyle="1" w:styleId="Indent1Bullet2">
    <w:name w:val="_Indent1Bullet2"/>
    <w:basedOn w:val="Normal"/>
    <w:qFormat/>
    <w:rsid w:val="00180EDE"/>
    <w:pPr>
      <w:numPr>
        <w:ilvl w:val="1"/>
        <w:numId w:val="5"/>
      </w:numPr>
      <w:spacing w:after="120"/>
    </w:pPr>
  </w:style>
  <w:style w:type="paragraph" w:customStyle="1" w:styleId="Indent1Bullet3">
    <w:name w:val="_Indent1Bullet3"/>
    <w:basedOn w:val="Normal"/>
    <w:qFormat/>
    <w:rsid w:val="00180EDE"/>
    <w:pPr>
      <w:numPr>
        <w:ilvl w:val="2"/>
        <w:numId w:val="5"/>
      </w:numPr>
      <w:spacing w:after="120"/>
    </w:pPr>
  </w:style>
  <w:style w:type="paragraph" w:customStyle="1" w:styleId="ListShiresFooter">
    <w:name w:val="_List Shires Footer"/>
    <w:basedOn w:val="Normal"/>
    <w:qFormat/>
    <w:rsid w:val="00180EDE"/>
    <w:pPr>
      <w:spacing w:after="240"/>
      <w:jc w:val="center"/>
    </w:pPr>
    <w:rPr>
      <w:rFonts w:ascii="Arial Narrow" w:hAnsi="Arial Narrow"/>
      <w:color w:val="6B6C6D" w:themeColor="accent3"/>
      <w:sz w:val="18"/>
      <w:szCs w:val="18"/>
    </w:rPr>
  </w:style>
  <w:style w:type="paragraph" w:customStyle="1" w:styleId="TOCHeading">
    <w:name w:val="_TOC Heading"/>
    <w:basedOn w:val="Normal"/>
    <w:next w:val="Normal"/>
    <w:qFormat/>
    <w:rsid w:val="00180EDE"/>
    <w:pPr>
      <w:spacing w:after="240"/>
    </w:pPr>
    <w:rPr>
      <w:b/>
      <w:color w:val="313253" w:themeColor="accent5"/>
      <w:sz w:val="36"/>
      <w:szCs w:val="36"/>
    </w:rPr>
  </w:style>
  <w:style w:type="table" w:customStyle="1" w:styleId="EMRCReportTable">
    <w:name w:val="EMRC Report Table"/>
    <w:basedOn w:val="TableNormal"/>
    <w:uiPriority w:val="99"/>
    <w:rsid w:val="00180EDE"/>
    <w:pPr>
      <w:spacing w:after="0" w:line="240" w:lineRule="auto"/>
    </w:pPr>
    <w:rPr>
      <w:sz w:val="18"/>
    </w:rPr>
    <w:tblPr/>
    <w:tcPr>
      <w:shd w:val="clear" w:color="auto" w:fill="auto"/>
    </w:tcPr>
    <w:tblStylePr w:type="firstRow">
      <w:pPr>
        <w:jc w:val="center"/>
      </w:pPr>
      <w:rPr>
        <w:rFonts w:ascii="Arial Narrow" w:hAnsi="Arial Narrow"/>
        <w:color w:val="C1A408" w:themeColor="accent4"/>
        <w:sz w:val="18"/>
      </w:rPr>
      <w:tblPr/>
      <w:tcPr>
        <w:shd w:val="clear" w:color="auto" w:fill="313253" w:themeFill="accent5"/>
      </w:tcPr>
    </w:tblStylePr>
    <w:tblStylePr w:type="lastRow">
      <w:rPr>
        <w:rFonts w:asciiTheme="minorHAnsi" w:hAnsiTheme="minorHAnsi"/>
        <w:sz w:val="18"/>
      </w:rPr>
    </w:tblStylePr>
  </w:style>
  <w:style w:type="numbering" w:customStyle="1" w:styleId="Indent1Bullets">
    <w:name w:val="Indent1Bullets"/>
    <w:uiPriority w:val="99"/>
    <w:rsid w:val="00180EDE"/>
    <w:pPr>
      <w:numPr>
        <w:numId w:val="5"/>
      </w:numPr>
    </w:pPr>
  </w:style>
  <w:style w:type="paragraph" w:styleId="TOC1">
    <w:name w:val="toc 1"/>
    <w:basedOn w:val="Normal"/>
    <w:next w:val="Normal"/>
    <w:uiPriority w:val="39"/>
    <w:unhideWhenUsed/>
    <w:rsid w:val="00180EDE"/>
    <w:pPr>
      <w:tabs>
        <w:tab w:val="right" w:leader="dot" w:pos="9713"/>
      </w:tabs>
      <w:spacing w:after="100"/>
      <w:ind w:left="567" w:right="284" w:hanging="567"/>
    </w:pPr>
    <w:rPr>
      <w:noProof/>
    </w:rPr>
  </w:style>
  <w:style w:type="paragraph" w:styleId="TOC2">
    <w:name w:val="toc 2"/>
    <w:basedOn w:val="Normal"/>
    <w:next w:val="Normal"/>
    <w:uiPriority w:val="39"/>
    <w:unhideWhenUsed/>
    <w:rsid w:val="00180EDE"/>
    <w:pPr>
      <w:tabs>
        <w:tab w:val="right" w:leader="dot" w:pos="9713"/>
      </w:tabs>
      <w:spacing w:after="100"/>
      <w:ind w:left="1134" w:right="284" w:hanging="567"/>
    </w:pPr>
    <w:rPr>
      <w:noProof/>
    </w:rPr>
  </w:style>
  <w:style w:type="paragraph" w:styleId="TOC3">
    <w:name w:val="toc 3"/>
    <w:basedOn w:val="Normal"/>
    <w:next w:val="Normal"/>
    <w:uiPriority w:val="39"/>
    <w:unhideWhenUsed/>
    <w:rsid w:val="00180EDE"/>
    <w:pPr>
      <w:tabs>
        <w:tab w:val="right" w:leader="dot" w:pos="9713"/>
      </w:tabs>
      <w:spacing w:after="100"/>
      <w:ind w:left="1134" w:right="28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5892">
      <w:bodyDiv w:val="1"/>
      <w:marLeft w:val="0"/>
      <w:marRight w:val="0"/>
      <w:marTop w:val="0"/>
      <w:marBottom w:val="0"/>
      <w:divBdr>
        <w:top w:val="none" w:sz="0" w:space="0" w:color="auto"/>
        <w:left w:val="none" w:sz="0" w:space="0" w:color="auto"/>
        <w:bottom w:val="none" w:sz="0" w:space="0" w:color="auto"/>
        <w:right w:val="none" w:sz="0" w:space="0" w:color="auto"/>
      </w:divBdr>
    </w:div>
    <w:div w:id="803082708">
      <w:bodyDiv w:val="1"/>
      <w:marLeft w:val="0"/>
      <w:marRight w:val="0"/>
      <w:marTop w:val="0"/>
      <w:marBottom w:val="0"/>
      <w:divBdr>
        <w:top w:val="none" w:sz="0" w:space="0" w:color="auto"/>
        <w:left w:val="none" w:sz="0" w:space="0" w:color="auto"/>
        <w:bottom w:val="none" w:sz="0" w:space="0" w:color="auto"/>
        <w:right w:val="none" w:sz="0" w:space="0" w:color="auto"/>
      </w:divBdr>
    </w:div>
    <w:div w:id="1118913366">
      <w:bodyDiv w:val="1"/>
      <w:marLeft w:val="0"/>
      <w:marRight w:val="0"/>
      <w:marTop w:val="0"/>
      <w:marBottom w:val="0"/>
      <w:divBdr>
        <w:top w:val="none" w:sz="0" w:space="0" w:color="auto"/>
        <w:left w:val="none" w:sz="0" w:space="0" w:color="auto"/>
        <w:bottom w:val="none" w:sz="0" w:space="0" w:color="auto"/>
        <w:right w:val="none" w:sz="0" w:space="0" w:color="auto"/>
      </w:divBdr>
    </w:div>
    <w:div w:id="1261450303">
      <w:bodyDiv w:val="1"/>
      <w:marLeft w:val="0"/>
      <w:marRight w:val="0"/>
      <w:marTop w:val="0"/>
      <w:marBottom w:val="0"/>
      <w:divBdr>
        <w:top w:val="none" w:sz="0" w:space="0" w:color="auto"/>
        <w:left w:val="none" w:sz="0" w:space="0" w:color="auto"/>
        <w:bottom w:val="none" w:sz="0" w:space="0" w:color="auto"/>
        <w:right w:val="none" w:sz="0" w:space="0" w:color="auto"/>
      </w:divBdr>
    </w:div>
    <w:div w:id="1294171447">
      <w:bodyDiv w:val="1"/>
      <w:marLeft w:val="0"/>
      <w:marRight w:val="0"/>
      <w:marTop w:val="0"/>
      <w:marBottom w:val="0"/>
      <w:divBdr>
        <w:top w:val="none" w:sz="0" w:space="0" w:color="auto"/>
        <w:left w:val="none" w:sz="0" w:space="0" w:color="auto"/>
        <w:bottom w:val="none" w:sz="0" w:space="0" w:color="auto"/>
        <w:right w:val="none" w:sz="0" w:space="0" w:color="auto"/>
      </w:divBdr>
    </w:div>
    <w:div w:id="1356610588">
      <w:bodyDiv w:val="1"/>
      <w:marLeft w:val="0"/>
      <w:marRight w:val="0"/>
      <w:marTop w:val="0"/>
      <w:marBottom w:val="0"/>
      <w:divBdr>
        <w:top w:val="none" w:sz="0" w:space="0" w:color="auto"/>
        <w:left w:val="none" w:sz="0" w:space="0" w:color="auto"/>
        <w:bottom w:val="none" w:sz="0" w:space="0" w:color="auto"/>
        <w:right w:val="none" w:sz="0" w:space="0" w:color="auto"/>
      </w:divBdr>
    </w:div>
    <w:div w:id="20736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For%20Theresa%20-%2010%20Sep\EMRC%20Template%20-%20Theresa.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F68B32"/>
      </a:accent2>
      <a:accent3>
        <a:srgbClr val="6B6C6D"/>
      </a:accent3>
      <a:accent4>
        <a:srgbClr val="C1A408"/>
      </a:accent4>
      <a:accent5>
        <a:srgbClr val="313253"/>
      </a:accent5>
      <a:accent6>
        <a:srgbClr val="76923C"/>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EMRC Template - Theresa.dotx</Template>
  <TotalTime>0</TotalTime>
  <Pages>6</Pages>
  <Words>1472</Words>
  <Characters>8394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Richard Whitehead</cp:lastModifiedBy>
  <cp:revision>2</cp:revision>
  <cp:lastPrinted>2021-09-01T01:51:00Z</cp:lastPrinted>
  <dcterms:created xsi:type="dcterms:W3CDTF">2021-11-19T01:29:00Z</dcterms:created>
  <dcterms:modified xsi:type="dcterms:W3CDTF">2021-11-19T01:29:00Z</dcterms:modified>
</cp:coreProperties>
</file>