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0EB" w:rsidRPr="006670EB" w:rsidRDefault="00F14062" w:rsidP="00E02FD7">
      <w:pPr>
        <w:pStyle w:val="1CoverPageEMRC"/>
        <w:spacing w:before="0"/>
      </w:pPr>
      <w:bookmarkStart w:id="0" w:name="_GoBack"/>
      <w:bookmarkEnd w:id="0"/>
      <w:r>
        <w:t>EMRC</w:t>
      </w:r>
      <w:r w:rsidR="0052126C">
        <w:t xml:space="preserve"> Council</w:t>
      </w:r>
      <w:r w:rsidR="002A7D93">
        <w:t xml:space="preserve"> Member</w:t>
      </w:r>
      <w:r>
        <w:t xml:space="preserve"> </w:t>
      </w:r>
      <w:r w:rsidR="0052711B">
        <w:t>Complaints Procedure</w:t>
      </w:r>
    </w:p>
    <w:p w:rsidR="006670EB" w:rsidRDefault="006670EB" w:rsidP="006670EB">
      <w:pPr>
        <w:pStyle w:val="3CoverPageTitle"/>
      </w:pPr>
      <w:r w:rsidRPr="006670EB">
        <w:t>Interrelated Documents</w:t>
      </w:r>
    </w:p>
    <w:p w:rsidR="00E02FD7" w:rsidRPr="00E02FD7" w:rsidRDefault="00E02FD7" w:rsidP="00440957">
      <w:pPr>
        <w:spacing w:after="120"/>
      </w:pPr>
      <w:r w:rsidRPr="00E02FD7">
        <w:t>EMRC Code of Conduct for Council Members, Committee Members and Candidates.</w:t>
      </w:r>
    </w:p>
    <w:p w:rsidR="006670EB" w:rsidRDefault="00E02FD7" w:rsidP="006670EB">
      <w:pPr>
        <w:spacing w:after="240"/>
      </w:pPr>
      <w:r w:rsidRPr="00E02FD7">
        <w:t>EMRC Complaint About Alleged Breach Form</w:t>
      </w:r>
    </w:p>
    <w:p w:rsidR="006670EB" w:rsidRDefault="006670EB" w:rsidP="006670EB">
      <w:pPr>
        <w:pStyle w:val="3CoverPageTitle"/>
      </w:pPr>
      <w:r>
        <w:t>Statutory Requirements</w:t>
      </w:r>
    </w:p>
    <w:p w:rsidR="00BC4814" w:rsidRDefault="00BC4814" w:rsidP="00440957">
      <w:pPr>
        <w:spacing w:after="120"/>
        <w:rPr>
          <w:i/>
        </w:rPr>
      </w:pPr>
      <w:r w:rsidRPr="00BC4814">
        <w:rPr>
          <w:i/>
        </w:rPr>
        <w:t>Local Government (Model Code of Conduct) Regulations 2021</w:t>
      </w:r>
    </w:p>
    <w:p w:rsidR="00BC4814" w:rsidRPr="00BC4814" w:rsidRDefault="00BC4814" w:rsidP="00440957">
      <w:pPr>
        <w:spacing w:after="240"/>
        <w:rPr>
          <w:i/>
        </w:rPr>
      </w:pPr>
      <w:r w:rsidRPr="00BC4814">
        <w:rPr>
          <w:i/>
        </w:rPr>
        <w:t>Local Government Legislation Amendment Act 2019</w:t>
      </w:r>
    </w:p>
    <w:p w:rsidR="006670EB" w:rsidRDefault="006670EB" w:rsidP="00F94EDC">
      <w:pPr>
        <w:pStyle w:val="3CoverPageTitle"/>
      </w:pPr>
      <w:r>
        <w:t>Purpose</w:t>
      </w:r>
    </w:p>
    <w:p w:rsidR="009B1D44" w:rsidRPr="009B1D44" w:rsidRDefault="009B1D44" w:rsidP="00440957">
      <w:pPr>
        <w:spacing w:after="240"/>
      </w:pPr>
      <w:r w:rsidRPr="009B1D44">
        <w:t>To establish</w:t>
      </w:r>
      <w:r>
        <w:t xml:space="preserve">, in accordance with clause 15(2) of the </w:t>
      </w:r>
      <w:r w:rsidRPr="009B1D44">
        <w:rPr>
          <w:i/>
        </w:rPr>
        <w:t>Local Government (Model Code of Conduct) Regulations 2021</w:t>
      </w:r>
      <w:r>
        <w:rPr>
          <w:i/>
        </w:rPr>
        <w:t xml:space="preserve"> </w:t>
      </w:r>
      <w:r>
        <w:t>and the EMRC Code of Conduct</w:t>
      </w:r>
      <w:r w:rsidR="001E368A">
        <w:t>, the procedure for dealing with complaints about alleged breaches of the behaviour requirements included in Division 3 of the EMRC Code of Conduct</w:t>
      </w:r>
      <w:r w:rsidR="00E02FD7">
        <w:t xml:space="preserve"> for Council Members, Committee Members and Candidates</w:t>
      </w:r>
      <w:r w:rsidR="001E368A">
        <w:t>.</w:t>
      </w:r>
    </w:p>
    <w:p w:rsidR="006670EB" w:rsidRDefault="006670EB" w:rsidP="00F94EDC">
      <w:pPr>
        <w:pStyle w:val="3CoverPageTitle"/>
      </w:pPr>
      <w:r>
        <w:t>Scope</w:t>
      </w:r>
    </w:p>
    <w:p w:rsidR="001E368A" w:rsidRDefault="001E368A" w:rsidP="00440957">
      <w:pPr>
        <w:spacing w:after="240"/>
      </w:pPr>
      <w:r>
        <w:t xml:space="preserve">The procedures apply to complaints </w:t>
      </w:r>
      <w:r w:rsidR="00236FEC">
        <w:t xml:space="preserve">made in accordance with clause 11 of the </w:t>
      </w:r>
      <w:r w:rsidR="00236FEC" w:rsidRPr="007F65C3">
        <w:rPr>
          <w:i/>
        </w:rPr>
        <w:t xml:space="preserve">EMRC Code of Conduct </w:t>
      </w:r>
      <w:r w:rsidR="00236FEC">
        <w:t>for Council Members, Committee Members and Candidates.</w:t>
      </w:r>
    </w:p>
    <w:p w:rsidR="00236FEC" w:rsidRPr="001E368A" w:rsidRDefault="00236FEC" w:rsidP="00440957">
      <w:pPr>
        <w:spacing w:after="240"/>
      </w:pPr>
      <w:r>
        <w:t>These procedures apply to Council Members, Committee Members , Candidates and any person who submits a complaint in accordance with these procedures.</w:t>
      </w:r>
    </w:p>
    <w:p w:rsidR="005E1539" w:rsidRDefault="006670EB" w:rsidP="00622286">
      <w:pPr>
        <w:pStyle w:val="3CoverPageTitle"/>
      </w:pPr>
      <w:r>
        <w:t>Definitions</w:t>
      </w:r>
    </w:p>
    <w:p w:rsidR="005E1539" w:rsidRPr="00BB15A3" w:rsidRDefault="005E1539" w:rsidP="00BB15A3">
      <w:pPr>
        <w:spacing w:after="120" w:line="276" w:lineRule="auto"/>
        <w:jc w:val="left"/>
        <w:rPr>
          <w:b/>
          <w:color w:val="313253" w:themeColor="accent5"/>
        </w:rPr>
      </w:pPr>
      <w:r w:rsidRPr="00BB15A3">
        <w:rPr>
          <w:b/>
          <w:color w:val="313253" w:themeColor="accent5"/>
        </w:rPr>
        <w:t>Code of Conduct means:</w:t>
      </w:r>
    </w:p>
    <w:p w:rsidR="005E1539" w:rsidRDefault="005E1539" w:rsidP="00440957">
      <w:pPr>
        <w:spacing w:after="240"/>
      </w:pPr>
      <w:r>
        <w:t>the EMRC Code of Conduct for Council Members, Committee Members and Candidates.</w:t>
      </w:r>
    </w:p>
    <w:p w:rsidR="005E1539" w:rsidRPr="00BB15A3" w:rsidRDefault="005E1539" w:rsidP="00BB15A3">
      <w:pPr>
        <w:spacing w:after="120" w:line="276" w:lineRule="auto"/>
        <w:jc w:val="left"/>
        <w:rPr>
          <w:b/>
          <w:color w:val="313253" w:themeColor="accent5"/>
        </w:rPr>
      </w:pPr>
      <w:r w:rsidRPr="00BB15A3">
        <w:rPr>
          <w:b/>
          <w:color w:val="313253" w:themeColor="accent5"/>
        </w:rPr>
        <w:t>Complainant means:</w:t>
      </w:r>
    </w:p>
    <w:p w:rsidR="005E1539" w:rsidRDefault="005E1539" w:rsidP="00440957">
      <w:pPr>
        <w:spacing w:after="240"/>
      </w:pPr>
      <w:r>
        <w:t>a person who has submitted a Complaint in accordance with these procedures.</w:t>
      </w:r>
    </w:p>
    <w:p w:rsidR="005E1539" w:rsidRPr="00BB15A3" w:rsidRDefault="005E1539" w:rsidP="00BB15A3">
      <w:pPr>
        <w:spacing w:after="120" w:line="276" w:lineRule="auto"/>
        <w:jc w:val="left"/>
        <w:rPr>
          <w:b/>
          <w:color w:val="313253" w:themeColor="accent5"/>
        </w:rPr>
      </w:pPr>
      <w:r w:rsidRPr="00BB15A3">
        <w:rPr>
          <w:b/>
          <w:color w:val="313253" w:themeColor="accent5"/>
        </w:rPr>
        <w:t>Complaint</w:t>
      </w:r>
      <w:r w:rsidR="005F3C2E" w:rsidRPr="00BB15A3">
        <w:rPr>
          <w:b/>
          <w:color w:val="313253" w:themeColor="accent5"/>
        </w:rPr>
        <w:t>(s)</w:t>
      </w:r>
      <w:r w:rsidRPr="00BB15A3">
        <w:rPr>
          <w:b/>
          <w:color w:val="313253" w:themeColor="accent5"/>
        </w:rPr>
        <w:t xml:space="preserve"> means:</w:t>
      </w:r>
    </w:p>
    <w:p w:rsidR="005E1539" w:rsidRDefault="005E1539" w:rsidP="00440957">
      <w:pPr>
        <w:spacing w:after="240"/>
      </w:pPr>
      <w:r>
        <w:t>a compl</w:t>
      </w:r>
      <w:r w:rsidR="00650777">
        <w:t>aint submitted under clause 11</w:t>
      </w:r>
      <w:r w:rsidR="007F65C3">
        <w:t>(3)</w:t>
      </w:r>
      <w:r w:rsidR="00650777">
        <w:t xml:space="preserve"> of the </w:t>
      </w:r>
      <w:r w:rsidR="007F65C3" w:rsidRPr="007F65C3">
        <w:rPr>
          <w:i/>
        </w:rPr>
        <w:t xml:space="preserve">EMRC </w:t>
      </w:r>
      <w:r w:rsidR="00650777" w:rsidRPr="007F65C3">
        <w:rPr>
          <w:i/>
        </w:rPr>
        <w:t>Code of Conduct</w:t>
      </w:r>
      <w:r w:rsidR="00650777">
        <w:t>.</w:t>
      </w:r>
    </w:p>
    <w:p w:rsidR="00622286" w:rsidRDefault="00622286" w:rsidP="00BB15A3">
      <w:pPr>
        <w:spacing w:after="120" w:line="276" w:lineRule="auto"/>
        <w:jc w:val="left"/>
        <w:rPr>
          <w:b/>
        </w:rPr>
      </w:pPr>
      <w:r w:rsidRPr="00BB15A3">
        <w:rPr>
          <w:b/>
          <w:color w:val="313253" w:themeColor="accent5"/>
        </w:rPr>
        <w:t>Complaints Officer means</w:t>
      </w:r>
      <w:r>
        <w:rPr>
          <w:b/>
        </w:rPr>
        <w:t>:</w:t>
      </w:r>
    </w:p>
    <w:p w:rsidR="00622286" w:rsidRPr="005E1539" w:rsidRDefault="00622286" w:rsidP="00440957">
      <w:pPr>
        <w:spacing w:after="240"/>
      </w:pPr>
      <w:r>
        <w:t xml:space="preserve">a person authorised in writing by EMRC Council resolution dated 25 February 2021 under clause 11(3) of the </w:t>
      </w:r>
      <w:r w:rsidR="007F65C3" w:rsidRPr="007F65C3">
        <w:rPr>
          <w:i/>
        </w:rPr>
        <w:t xml:space="preserve">EMRC </w:t>
      </w:r>
      <w:r w:rsidRPr="007F65C3">
        <w:rPr>
          <w:i/>
        </w:rPr>
        <w:t xml:space="preserve">Code of Conduct </w:t>
      </w:r>
      <w:r>
        <w:t>to receive complaints and withdrawals of complaints.</w:t>
      </w:r>
    </w:p>
    <w:p w:rsidR="009C5733" w:rsidRPr="00BB15A3" w:rsidRDefault="009C5733" w:rsidP="00BB15A3">
      <w:pPr>
        <w:spacing w:after="120" w:line="276" w:lineRule="auto"/>
        <w:jc w:val="left"/>
        <w:rPr>
          <w:b/>
          <w:color w:val="313253" w:themeColor="accent5"/>
        </w:rPr>
      </w:pPr>
      <w:r w:rsidRPr="00BB15A3">
        <w:rPr>
          <w:b/>
          <w:color w:val="313253" w:themeColor="accent5"/>
        </w:rPr>
        <w:t>Respondent means:</w:t>
      </w:r>
    </w:p>
    <w:p w:rsidR="00440957" w:rsidRDefault="001045F5" w:rsidP="00440957">
      <w:pPr>
        <w:spacing w:after="240"/>
      </w:pPr>
      <w:r>
        <w:t>a person who a Complaint is made against by the Complainant</w:t>
      </w:r>
      <w:r w:rsidR="005F3C2E">
        <w:t>.</w:t>
      </w:r>
    </w:p>
    <w:p w:rsidR="00440957" w:rsidRDefault="00440957" w:rsidP="00440957">
      <w:r>
        <w:br w:type="page"/>
      </w:r>
    </w:p>
    <w:p w:rsidR="006670EB" w:rsidRDefault="00B8027B" w:rsidP="00F94EDC">
      <w:pPr>
        <w:pStyle w:val="3CoverPageTitle"/>
      </w:pPr>
      <w:r>
        <w:lastRenderedPageBreak/>
        <w:t>Procedures</w:t>
      </w:r>
    </w:p>
    <w:p w:rsidR="005F3C2E" w:rsidRDefault="005F3C2E" w:rsidP="00BB15A3">
      <w:pPr>
        <w:spacing w:before="120" w:after="240" w:line="276" w:lineRule="auto"/>
        <w:jc w:val="left"/>
        <w:rPr>
          <w:b/>
          <w:color w:val="313253" w:themeColor="accent5"/>
        </w:rPr>
      </w:pPr>
      <w:r w:rsidRPr="00BB15A3">
        <w:rPr>
          <w:b/>
          <w:color w:val="313253" w:themeColor="accent5"/>
        </w:rPr>
        <w:t>Confidentiality</w:t>
      </w:r>
    </w:p>
    <w:p w:rsidR="005F3C2E" w:rsidRDefault="005F3C2E" w:rsidP="00440957">
      <w:pPr>
        <w:spacing w:after="240"/>
      </w:pPr>
      <w:r w:rsidRPr="005F3C2E">
        <w:t xml:space="preserve">The EMRC </w:t>
      </w:r>
      <w:r>
        <w:t>will take all reasonable steps to maintain confidentiality when dealing with the Complaint, in order to protect both the Complainant and Respondent.</w:t>
      </w:r>
    </w:p>
    <w:p w:rsidR="005F3C2E" w:rsidRDefault="005F3C2E" w:rsidP="00440957">
      <w:pPr>
        <w:spacing w:after="240"/>
      </w:pPr>
      <w:r>
        <w:t xml:space="preserve">Council </w:t>
      </w:r>
      <w:r w:rsidR="00B43775">
        <w:t>M</w:t>
      </w:r>
      <w:r>
        <w:t>embers, Local Government employees and contractors who have a role in handling a specific complaint will be provided with sufficient information to fulfil their role. They must manage this information securely and must not disclose or inappropriately use this information.</w:t>
      </w:r>
    </w:p>
    <w:p w:rsidR="005F3C2E" w:rsidRDefault="005F3C2E" w:rsidP="00440957">
      <w:pPr>
        <w:spacing w:after="240"/>
      </w:pPr>
      <w:r>
        <w:t>Complainants will be advised of the level of confidentiality they can expect and that breaches of confidentiality on their part may prejudice the progress of their Complaint.</w:t>
      </w:r>
    </w:p>
    <w:p w:rsidR="005F3C2E" w:rsidRPr="00BB15A3" w:rsidRDefault="009F572B" w:rsidP="00BB15A3">
      <w:pPr>
        <w:spacing w:after="240" w:line="276" w:lineRule="auto"/>
        <w:jc w:val="left"/>
        <w:rPr>
          <w:b/>
          <w:color w:val="313253" w:themeColor="accent5"/>
        </w:rPr>
      </w:pPr>
      <w:r w:rsidRPr="00BB15A3">
        <w:rPr>
          <w:b/>
          <w:color w:val="313253" w:themeColor="accent5"/>
        </w:rPr>
        <w:t xml:space="preserve">Role of </w:t>
      </w:r>
      <w:r w:rsidR="00622286" w:rsidRPr="00BB15A3">
        <w:rPr>
          <w:b/>
          <w:color w:val="313253" w:themeColor="accent5"/>
        </w:rPr>
        <w:t xml:space="preserve">the </w:t>
      </w:r>
      <w:r w:rsidR="005F3C2E" w:rsidRPr="00BB15A3">
        <w:rPr>
          <w:b/>
          <w:color w:val="313253" w:themeColor="accent5"/>
        </w:rPr>
        <w:t>Complaints Officer</w:t>
      </w:r>
    </w:p>
    <w:p w:rsidR="005F3C2E" w:rsidRDefault="005F3C2E" w:rsidP="00440957">
      <w:pPr>
        <w:spacing w:after="240"/>
      </w:pPr>
      <w:r>
        <w:t xml:space="preserve">The Complaints Officer is authorised in accordance with clause 11(3) of the </w:t>
      </w:r>
      <w:r w:rsidR="007F65C3" w:rsidRPr="007F65C3">
        <w:rPr>
          <w:i/>
        </w:rPr>
        <w:t xml:space="preserve">EMRC </w:t>
      </w:r>
      <w:r w:rsidRPr="007F65C3">
        <w:rPr>
          <w:i/>
        </w:rPr>
        <w:t>Code of Conduct</w:t>
      </w:r>
      <w:r>
        <w:t xml:space="preserve"> to accept Complaints and withdrawal of Complaints.</w:t>
      </w:r>
    </w:p>
    <w:p w:rsidR="00F6302C" w:rsidRDefault="005F3C2E" w:rsidP="00440957">
      <w:pPr>
        <w:spacing w:after="240"/>
      </w:pPr>
      <w:r>
        <w:t>The Complaints Officer is not an advocate for the Complainant or the Respondent. The Complaints Officer provides procedural information and assistance to both the Complainant</w:t>
      </w:r>
      <w:r w:rsidR="00F6302C">
        <w:t xml:space="preserve"> and Respondent.</w:t>
      </w:r>
    </w:p>
    <w:p w:rsidR="005F3C2E" w:rsidRPr="00BB15A3" w:rsidRDefault="00B43775" w:rsidP="00BB15A3">
      <w:pPr>
        <w:spacing w:after="240" w:line="276" w:lineRule="auto"/>
        <w:jc w:val="left"/>
        <w:rPr>
          <w:b/>
          <w:color w:val="313253" w:themeColor="accent5"/>
        </w:rPr>
      </w:pPr>
      <w:r w:rsidRPr="00BB15A3">
        <w:rPr>
          <w:b/>
          <w:color w:val="313253" w:themeColor="accent5"/>
        </w:rPr>
        <w:t>Making a Complaint</w:t>
      </w:r>
    </w:p>
    <w:p w:rsidR="00B43775" w:rsidRDefault="00B43775" w:rsidP="00440957">
      <w:pPr>
        <w:spacing w:after="240"/>
      </w:pPr>
      <w:r>
        <w:t xml:space="preserve">Any person may make a Complaint alleging that a Council Member, Committee Member or Candidate has behaved in a way that constitutes a breach of the </w:t>
      </w:r>
      <w:r w:rsidR="007F65C3" w:rsidRPr="007F65C3">
        <w:rPr>
          <w:i/>
        </w:rPr>
        <w:t xml:space="preserve">EMRC </w:t>
      </w:r>
      <w:r w:rsidRPr="007F65C3">
        <w:rPr>
          <w:i/>
        </w:rPr>
        <w:t>Code of Conduct.</w:t>
      </w:r>
    </w:p>
    <w:p w:rsidR="00414B0A" w:rsidRDefault="00414B0A" w:rsidP="00BB15A3">
      <w:pPr>
        <w:spacing w:after="120"/>
      </w:pPr>
      <w:r>
        <w:t>The following process must be followed after a Complaint is made:</w:t>
      </w:r>
    </w:p>
    <w:p w:rsidR="00C53065" w:rsidRDefault="00C53065" w:rsidP="00BB15A3">
      <w:pPr>
        <w:pStyle w:val="ListParagraph"/>
        <w:numPr>
          <w:ilvl w:val="0"/>
          <w:numId w:val="42"/>
        </w:numPr>
        <w:spacing w:after="120"/>
        <w:ind w:left="714" w:hanging="357"/>
        <w:contextualSpacing w:val="0"/>
      </w:pPr>
      <w:r>
        <w:t>A Complaint may be made using the EMRC Complaint About Alleged Breach Form, available on the EMRC’s website and forwarded to the Complaints Officer.</w:t>
      </w:r>
    </w:p>
    <w:p w:rsidR="00414B0A" w:rsidRDefault="00B43775" w:rsidP="00BB15A3">
      <w:pPr>
        <w:pStyle w:val="ListParagraph"/>
        <w:numPr>
          <w:ilvl w:val="0"/>
          <w:numId w:val="42"/>
        </w:numPr>
        <w:spacing w:after="120"/>
        <w:ind w:left="714" w:hanging="357"/>
        <w:contextualSpacing w:val="0"/>
      </w:pPr>
      <w:r>
        <w:t>A Complaint must be made within one (1) month</w:t>
      </w:r>
      <w:r w:rsidR="00EE196D">
        <w:t xml:space="preserve"> after the alleged breach and the Complaint is required to include the name and contact details of the Complainant therefore anonymous complaints cannot be accepted.</w:t>
      </w:r>
      <w:r w:rsidR="00622286">
        <w:t xml:space="preserve"> </w:t>
      </w:r>
    </w:p>
    <w:p w:rsidR="00B43775" w:rsidRDefault="00622286" w:rsidP="00BB15A3">
      <w:pPr>
        <w:pStyle w:val="ListParagraph"/>
        <w:numPr>
          <w:ilvl w:val="0"/>
          <w:numId w:val="42"/>
        </w:numPr>
        <w:spacing w:after="120"/>
        <w:ind w:left="714" w:hanging="357"/>
        <w:contextualSpacing w:val="0"/>
      </w:pPr>
      <w:r>
        <w:t>The Complaints Officer must acknowledge the Complaint within ten (10) days of receipt of the Complaint.</w:t>
      </w:r>
    </w:p>
    <w:p w:rsidR="00414B0A" w:rsidRDefault="00414B0A" w:rsidP="00BB15A3">
      <w:pPr>
        <w:pStyle w:val="ListParagraph"/>
        <w:numPr>
          <w:ilvl w:val="0"/>
          <w:numId w:val="42"/>
        </w:numPr>
        <w:spacing w:after="120"/>
        <w:ind w:left="714" w:hanging="357"/>
        <w:contextualSpacing w:val="0"/>
      </w:pPr>
      <w:r w:rsidRPr="00C53065">
        <w:t xml:space="preserve">The Respondent is informed </w:t>
      </w:r>
      <w:r w:rsidR="00FA257C" w:rsidRPr="00C53065">
        <w:t>of the Complaint</w:t>
      </w:r>
      <w:r w:rsidR="00C53065">
        <w:t xml:space="preserve"> and invited to comment and provide information on the alleged conduct and is provided 14 days to respond to the Complaint.</w:t>
      </w:r>
    </w:p>
    <w:p w:rsidR="00C53065" w:rsidRDefault="00C53065" w:rsidP="00BB15A3">
      <w:pPr>
        <w:pStyle w:val="ListParagraph"/>
        <w:numPr>
          <w:ilvl w:val="0"/>
          <w:numId w:val="42"/>
        </w:numPr>
        <w:spacing w:after="120"/>
        <w:ind w:left="714" w:hanging="357"/>
        <w:contextualSpacing w:val="0"/>
      </w:pPr>
      <w:r>
        <w:t>The Complaints Officer analyses the evidence provided and prepares a draft report for Council consideration.</w:t>
      </w:r>
    </w:p>
    <w:p w:rsidR="00C53065" w:rsidRDefault="00C53065" w:rsidP="00BB15A3">
      <w:pPr>
        <w:pStyle w:val="ListParagraph"/>
        <w:numPr>
          <w:ilvl w:val="0"/>
          <w:numId w:val="42"/>
        </w:numPr>
        <w:spacing w:after="120"/>
        <w:ind w:left="714" w:hanging="357"/>
        <w:contextualSpacing w:val="0"/>
      </w:pPr>
      <w:r>
        <w:t>The</w:t>
      </w:r>
      <w:r w:rsidR="00FB42C6">
        <w:t xml:space="preserve"> </w:t>
      </w:r>
      <w:r>
        <w:t xml:space="preserve">Complaints Officer </w:t>
      </w:r>
      <w:r w:rsidR="00FB42C6">
        <w:t>is to provide a copy of the Council report to the Complainant and the Respondent for comment and given 14 days to provide a response.</w:t>
      </w:r>
    </w:p>
    <w:p w:rsidR="00FB42C6" w:rsidRDefault="00FB42C6" w:rsidP="00BB15A3">
      <w:pPr>
        <w:pStyle w:val="ListParagraph"/>
        <w:numPr>
          <w:ilvl w:val="0"/>
          <w:numId w:val="42"/>
        </w:numPr>
        <w:spacing w:after="120"/>
        <w:ind w:left="714" w:hanging="357"/>
        <w:contextualSpacing w:val="0"/>
      </w:pPr>
      <w:r>
        <w:t>The Complaints Officer considers any feedback given and finalises the report to Council.</w:t>
      </w:r>
    </w:p>
    <w:p w:rsidR="00FB42C6" w:rsidRDefault="00FB42C6" w:rsidP="00BB15A3">
      <w:pPr>
        <w:pStyle w:val="ListParagraph"/>
        <w:numPr>
          <w:ilvl w:val="0"/>
          <w:numId w:val="42"/>
        </w:numPr>
        <w:spacing w:after="120"/>
        <w:ind w:left="714" w:hanging="357"/>
        <w:contextualSpacing w:val="0"/>
      </w:pPr>
      <w:r>
        <w:t>The Council considers the report at its ordinary Council meeting and makes a finding.</w:t>
      </w:r>
    </w:p>
    <w:p w:rsidR="00FB42C6" w:rsidRDefault="00FB42C6" w:rsidP="00BB15A3">
      <w:pPr>
        <w:pStyle w:val="ListParagraph"/>
        <w:numPr>
          <w:ilvl w:val="0"/>
          <w:numId w:val="42"/>
        </w:numPr>
        <w:spacing w:after="120"/>
        <w:ind w:left="714" w:hanging="357"/>
        <w:contextualSpacing w:val="0"/>
      </w:pPr>
      <w:r>
        <w:t>In the event that Council cannot reach a finding, the Complaint is to be referred to an independent person (to be determined) to review the Complaint and make a recommendation on the appropriate actions.</w:t>
      </w:r>
    </w:p>
    <w:p w:rsidR="00CF5DCA" w:rsidRDefault="00CF5DCA" w:rsidP="00BB15A3">
      <w:pPr>
        <w:pStyle w:val="ListParagraph"/>
        <w:numPr>
          <w:ilvl w:val="0"/>
          <w:numId w:val="42"/>
        </w:numPr>
        <w:spacing w:after="120"/>
        <w:ind w:left="714" w:hanging="357"/>
        <w:contextualSpacing w:val="0"/>
      </w:pPr>
      <w:r>
        <w:t xml:space="preserve">A report </w:t>
      </w:r>
      <w:r w:rsidR="0005491B">
        <w:t xml:space="preserve">is then </w:t>
      </w:r>
      <w:r>
        <w:t xml:space="preserve">to be provided back to Council </w:t>
      </w:r>
      <w:r w:rsidR="0005491B">
        <w:t>on the independent review.</w:t>
      </w:r>
    </w:p>
    <w:p w:rsidR="0005491B" w:rsidRDefault="0005491B" w:rsidP="00BB15A3">
      <w:pPr>
        <w:pStyle w:val="ListParagraph"/>
        <w:numPr>
          <w:ilvl w:val="0"/>
          <w:numId w:val="42"/>
        </w:numPr>
        <w:spacing w:after="120"/>
        <w:ind w:left="714" w:hanging="357"/>
        <w:contextualSpacing w:val="0"/>
      </w:pPr>
      <w:r>
        <w:t>The Complainant and the Respondent are to be advised of the Council decision and given 28 days to appeal the Council decision.</w:t>
      </w:r>
    </w:p>
    <w:p w:rsidR="0005491B" w:rsidRDefault="0005491B" w:rsidP="00BB15A3">
      <w:pPr>
        <w:pStyle w:val="ListParagraph"/>
        <w:numPr>
          <w:ilvl w:val="0"/>
          <w:numId w:val="42"/>
        </w:numPr>
        <w:spacing w:after="120"/>
        <w:ind w:left="714" w:hanging="357"/>
        <w:contextualSpacing w:val="0"/>
      </w:pPr>
      <w:r>
        <w:t>If a breach is determined, the Register of Complaints is updated on the EMRC’s website.</w:t>
      </w:r>
    </w:p>
    <w:p w:rsidR="0005491B" w:rsidRDefault="0005491B" w:rsidP="00BB15A3">
      <w:pPr>
        <w:pStyle w:val="ListParagraph"/>
        <w:numPr>
          <w:ilvl w:val="0"/>
          <w:numId w:val="42"/>
        </w:numPr>
        <w:spacing w:after="120"/>
        <w:ind w:left="714" w:hanging="357"/>
        <w:contextualSpacing w:val="0"/>
      </w:pPr>
      <w:r>
        <w:lastRenderedPageBreak/>
        <w:t xml:space="preserve">If the Complainant or Respondent object to the breach recorded, this will need to </w:t>
      </w:r>
      <w:r w:rsidR="00DC46D2">
        <w:t>be reported back to Council.</w:t>
      </w:r>
    </w:p>
    <w:p w:rsidR="00DC46D2" w:rsidRDefault="00DC46D2" w:rsidP="00BB15A3">
      <w:pPr>
        <w:pStyle w:val="ListParagraph"/>
        <w:numPr>
          <w:ilvl w:val="0"/>
          <w:numId w:val="42"/>
        </w:numPr>
        <w:spacing w:after="120"/>
        <w:ind w:left="714" w:hanging="357"/>
        <w:contextualSpacing w:val="0"/>
      </w:pPr>
      <w:r>
        <w:t>An action plan is to be developed in consultation with the Respondent.</w:t>
      </w:r>
    </w:p>
    <w:p w:rsidR="00EE196D" w:rsidRDefault="00DC46D2" w:rsidP="00BB15A3">
      <w:pPr>
        <w:pStyle w:val="ListParagraph"/>
        <w:numPr>
          <w:ilvl w:val="0"/>
          <w:numId w:val="42"/>
        </w:numPr>
        <w:spacing w:after="120"/>
        <w:ind w:left="714" w:hanging="357"/>
        <w:contextualSpacing w:val="0"/>
      </w:pPr>
      <w:r>
        <w:t>The action plan is to be monitored for compliance and any non-compliance and proposed action to be reported back to Council.</w:t>
      </w:r>
    </w:p>
    <w:p w:rsidR="00EE196D" w:rsidRPr="00B43775" w:rsidRDefault="00EE196D" w:rsidP="00BB15A3">
      <w:pPr>
        <w:spacing w:after="240"/>
      </w:pPr>
      <w:r>
        <w:t xml:space="preserve">Where a Complaint </w:t>
      </w:r>
      <w:r w:rsidR="00F53018">
        <w:t>i</w:t>
      </w:r>
      <w:r>
        <w:t xml:space="preserve">s made more than one (1) month after the alleged breach, the Complaints Officer </w:t>
      </w:r>
      <w:r w:rsidR="00414B0A">
        <w:t>will give the Complainant written notice that the Complaint cannot be made.</w:t>
      </w:r>
    </w:p>
    <w:p w:rsidR="00DC46D2" w:rsidRPr="00BB15A3" w:rsidRDefault="00DC46D2" w:rsidP="00440957">
      <w:pPr>
        <w:spacing w:after="240" w:line="276" w:lineRule="auto"/>
        <w:jc w:val="left"/>
        <w:rPr>
          <w:b/>
          <w:color w:val="313253" w:themeColor="accent5"/>
        </w:rPr>
      </w:pPr>
      <w:r w:rsidRPr="00BB15A3">
        <w:rPr>
          <w:b/>
          <w:color w:val="313253" w:themeColor="accent5"/>
        </w:rPr>
        <w:t>Withdrawing a Complaint</w:t>
      </w:r>
    </w:p>
    <w:p w:rsidR="00475B98" w:rsidRDefault="00DC46D2" w:rsidP="00440957">
      <w:pPr>
        <w:spacing w:after="240" w:line="276" w:lineRule="auto"/>
        <w:jc w:val="left"/>
      </w:pPr>
      <w:r>
        <w:t xml:space="preserve">A Complainant may withdraw their Complaint at any time before a finding has been made in relation to the Complaint by advising the </w:t>
      </w:r>
      <w:r w:rsidR="00475B98">
        <w:t>Complaints Officer in writing of the withdrawal.</w:t>
      </w:r>
    </w:p>
    <w:p w:rsidR="00440957" w:rsidRDefault="00475B98" w:rsidP="00440957">
      <w:pPr>
        <w:spacing w:after="240" w:line="276" w:lineRule="auto"/>
        <w:jc w:val="left"/>
      </w:pPr>
      <w:r>
        <w:t>After receiving a written withdrawal of the Complaint, the Complaints Officer will take all the necessary steps to terminate the process commenced under th</w:t>
      </w:r>
      <w:r w:rsidR="0052126C">
        <w:t>e EMRC Councillor Complaints Procedure.</w:t>
      </w:r>
    </w:p>
    <w:p w:rsidR="00DC36FF" w:rsidRDefault="00DC36FF" w:rsidP="00440957">
      <w:pPr>
        <w:pStyle w:val="3CoverPageTitle"/>
      </w:pPr>
      <w:r>
        <w:t>Responsibility</w:t>
      </w:r>
    </w:p>
    <w:p w:rsidR="00F94EDC" w:rsidRDefault="00F94EDC" w:rsidP="00F94EDC">
      <w:pPr>
        <w:pBdr>
          <w:top w:val="single" w:sz="4" w:space="1" w:color="313253" w:themeColor="accent5"/>
        </w:pBdr>
      </w:pPr>
    </w:p>
    <w:p w:rsidR="00F94EDC" w:rsidRDefault="00F94EDC" w:rsidP="00F94EDC"/>
    <w:p w:rsidR="00F94EDC" w:rsidRPr="00F94EDC" w:rsidRDefault="00F94EDC" w:rsidP="00F94EDC">
      <w:pPr>
        <w:tabs>
          <w:tab w:val="left" w:pos="5103"/>
        </w:tabs>
        <w:spacing w:after="120"/>
        <w:rPr>
          <w:b/>
          <w:color w:val="6B6C6D" w:themeColor="accent3"/>
        </w:rPr>
      </w:pPr>
      <w:r w:rsidRPr="00F94EDC">
        <w:rPr>
          <w:b/>
          <w:color w:val="6B6C6D" w:themeColor="accent3"/>
        </w:rPr>
        <w:t xml:space="preserve">Adopted/Reviewed by </w:t>
      </w:r>
      <w:r w:rsidR="00DC46D2">
        <w:rPr>
          <w:b/>
          <w:color w:val="6B6C6D" w:themeColor="accent3"/>
        </w:rPr>
        <w:t>Council</w:t>
      </w:r>
      <w:r w:rsidRPr="00F94EDC">
        <w:rPr>
          <w:b/>
          <w:color w:val="6B6C6D" w:themeColor="accent3"/>
        </w:rPr>
        <w:tab/>
      </w:r>
      <w:r w:rsidR="00C26C82">
        <w:rPr>
          <w:b/>
          <w:color w:val="6B6C6D" w:themeColor="accent3"/>
        </w:rPr>
        <w:t>26 August 2021</w:t>
      </w:r>
    </w:p>
    <w:p w:rsidR="00F94EDC" w:rsidRPr="00F94EDC" w:rsidRDefault="00F94EDC" w:rsidP="00F94EDC">
      <w:pPr>
        <w:tabs>
          <w:tab w:val="left" w:pos="5103"/>
        </w:tabs>
        <w:spacing w:after="120"/>
        <w:rPr>
          <w:b/>
          <w:color w:val="6B6C6D" w:themeColor="accent3"/>
        </w:rPr>
      </w:pPr>
      <w:r w:rsidRPr="00F94EDC">
        <w:rPr>
          <w:b/>
          <w:color w:val="6B6C6D" w:themeColor="accent3"/>
        </w:rPr>
        <w:t>Next Review</w:t>
      </w:r>
      <w:r w:rsidRPr="00F94EDC">
        <w:rPr>
          <w:b/>
          <w:color w:val="6B6C6D" w:themeColor="accent3"/>
        </w:rPr>
        <w:tab/>
      </w:r>
      <w:r w:rsidR="00C26C82">
        <w:rPr>
          <w:b/>
          <w:color w:val="6B6C6D" w:themeColor="accent3"/>
        </w:rPr>
        <w:t>2023</w:t>
      </w:r>
    </w:p>
    <w:p w:rsidR="00F94EDC" w:rsidRDefault="00F94EDC" w:rsidP="00F94EDC">
      <w:pPr>
        <w:tabs>
          <w:tab w:val="left" w:pos="5103"/>
        </w:tabs>
        <w:rPr>
          <w:b/>
          <w:color w:val="6B6C6D" w:themeColor="accent3"/>
        </w:rPr>
      </w:pPr>
      <w:r w:rsidRPr="00F94EDC">
        <w:rPr>
          <w:b/>
          <w:color w:val="6B6C6D" w:themeColor="accent3"/>
        </w:rPr>
        <w:t>Responsible Unit</w:t>
      </w:r>
      <w:r w:rsidRPr="00F94EDC">
        <w:rPr>
          <w:b/>
          <w:color w:val="6B6C6D" w:themeColor="accent3"/>
        </w:rPr>
        <w:tab/>
      </w:r>
      <w:r w:rsidR="00074136">
        <w:rPr>
          <w:b/>
          <w:color w:val="6B6C6D" w:themeColor="accent3"/>
        </w:rPr>
        <w:t>Business Support Team - Governance</w:t>
      </w:r>
    </w:p>
    <w:p w:rsidR="009B1D44" w:rsidRDefault="009B1D44" w:rsidP="00F94EDC">
      <w:pPr>
        <w:tabs>
          <w:tab w:val="left" w:pos="5103"/>
        </w:tabs>
        <w:rPr>
          <w:b/>
          <w:color w:val="6B6C6D" w:themeColor="accent3"/>
        </w:rPr>
      </w:pPr>
    </w:p>
    <w:sectPr w:rsidR="009B1D44" w:rsidSect="00F94ED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268" w:right="851" w:bottom="1134" w:left="1332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3C7" w:rsidRDefault="005D33C7" w:rsidP="00615BBA">
      <w:r>
        <w:separator/>
      </w:r>
    </w:p>
  </w:endnote>
  <w:endnote w:type="continuationSeparator" w:id="0">
    <w:p w:rsidR="005D33C7" w:rsidRDefault="005D33C7" w:rsidP="00615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062" w:rsidRPr="003878C6" w:rsidRDefault="00F14062" w:rsidP="00F94EDC">
    <w:pPr>
      <w:pStyle w:val="Footer"/>
      <w:pBdr>
        <w:top w:val="none" w:sz="0" w:space="0" w:color="auto"/>
      </w:pBdr>
    </w:pPr>
    <w:r w:rsidRPr="003878C6">
      <w:fldChar w:fldCharType="begin"/>
    </w:r>
    <w:r w:rsidRPr="003878C6">
      <w:instrText xml:space="preserve"> PAGE   \* MERGEFORMAT </w:instrText>
    </w:r>
    <w:r w:rsidRPr="003878C6">
      <w:fldChar w:fldCharType="separate"/>
    </w:r>
    <w:r w:rsidRPr="003878C6">
      <w:t>1</w:t>
    </w:r>
    <w:r w:rsidRPr="003878C6">
      <w:fldChar w:fldCharType="end"/>
    </w:r>
    <w:r w:rsidRPr="003878C6">
      <w:t xml:space="preserve"> |</w:t>
    </w:r>
    <w:r>
      <w:t xml:space="preserve"> </w:t>
    </w:r>
    <w:r w:rsidRPr="003878C6">
      <w:rPr>
        <w:spacing w:val="60"/>
      </w:rPr>
      <w:t>Pag</w:t>
    </w:r>
    <w:r>
      <w:t>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062" w:rsidRDefault="00F14062" w:rsidP="00F94EDC">
    <w:pPr>
      <w:pStyle w:val="Footer"/>
      <w:pBdr>
        <w:top w:val="none" w:sz="0" w:space="0" w:color="auto"/>
      </w:pBdr>
    </w:pPr>
    <w:r w:rsidRPr="003878C6">
      <w:fldChar w:fldCharType="begin"/>
    </w:r>
    <w:r w:rsidRPr="003878C6">
      <w:instrText xml:space="preserve"> PAGE   \* MERGEFORMAT </w:instrText>
    </w:r>
    <w:r w:rsidRPr="003878C6">
      <w:fldChar w:fldCharType="separate"/>
    </w:r>
    <w:r>
      <w:t>2</w:t>
    </w:r>
    <w:r w:rsidRPr="003878C6">
      <w:fldChar w:fldCharType="end"/>
    </w:r>
    <w:r w:rsidRPr="003878C6">
      <w:t xml:space="preserve"> |</w:t>
    </w:r>
    <w:r>
      <w:t xml:space="preserve"> </w:t>
    </w:r>
    <w:r w:rsidRPr="003878C6">
      <w:rPr>
        <w:spacing w:val="60"/>
      </w:rPr>
      <w:t>Pag</w:t>
    </w:r>
    <w:r>
      <w:t>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3C7" w:rsidRDefault="005D33C7" w:rsidP="00615BBA">
      <w:r>
        <w:separator/>
      </w:r>
    </w:p>
  </w:footnote>
  <w:footnote w:type="continuationSeparator" w:id="0">
    <w:p w:rsidR="005D33C7" w:rsidRDefault="005D33C7" w:rsidP="00615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062" w:rsidRDefault="00F14062" w:rsidP="00BC779E">
    <w:pPr>
      <w:pStyle w:val="Header"/>
    </w:pPr>
    <w:r>
      <w:rPr>
        <w:noProof/>
      </w:rPr>
      <w:drawing>
        <wp:anchor distT="0" distB="0" distL="114300" distR="114300" simplePos="0" relativeHeight="251662848" behindDoc="1" locked="0" layoutInCell="1" allowOverlap="1" wp14:anchorId="01065E49" wp14:editId="06E33332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0000" cy="10682609"/>
          <wp:effectExtent l="0" t="0" r="3175" b="4445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8275-EMRC Letterhead Template-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826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062" w:rsidRDefault="00F14062" w:rsidP="00BC779E">
    <w:pPr>
      <w:pStyle w:val="Header"/>
    </w:pPr>
    <w:r>
      <w:rPr>
        <w:noProof/>
      </w:rPr>
      <w:drawing>
        <wp:anchor distT="0" distB="0" distL="114300" distR="114300" simplePos="0" relativeHeight="251664896" behindDoc="1" locked="0" layoutInCell="1" allowOverlap="1" wp14:anchorId="27ADFA70" wp14:editId="208264EB">
          <wp:simplePos x="0" y="0"/>
          <wp:positionH relativeFrom="page">
            <wp:posOffset>-23701</wp:posOffset>
          </wp:positionH>
          <wp:positionV relativeFrom="page">
            <wp:posOffset>-11251</wp:posOffset>
          </wp:positionV>
          <wp:extent cx="2114550" cy="10682150"/>
          <wp:effectExtent l="0" t="0" r="0" b="5080"/>
          <wp:wrapNone/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8275-EMRC Letterhead Template-4.png"/>
                  <pic:cNvPicPr/>
                </pic:nvPicPr>
                <pic:blipFill rotWithShape="1">
                  <a:blip r:embed="rId1"/>
                  <a:srcRect r="72029"/>
                  <a:stretch/>
                </pic:blipFill>
                <pic:spPr bwMode="auto">
                  <a:xfrm>
                    <a:off x="0" y="0"/>
                    <a:ext cx="2114550" cy="10682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8A251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0C2E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222A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9227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6E4E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A8C2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FFA55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B400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584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E0C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D60D37"/>
    <w:multiLevelType w:val="multilevel"/>
    <w:tmpl w:val="9976BBE8"/>
    <w:numStyleLink w:val="Bullets"/>
  </w:abstractNum>
  <w:abstractNum w:abstractNumId="11" w15:restartNumberingAfterBreak="0">
    <w:nsid w:val="10473018"/>
    <w:multiLevelType w:val="multilevel"/>
    <w:tmpl w:val="9976BBE8"/>
    <w:numStyleLink w:val="Bullets"/>
  </w:abstractNum>
  <w:abstractNum w:abstractNumId="12" w15:restartNumberingAfterBreak="0">
    <w:nsid w:val="1C192370"/>
    <w:multiLevelType w:val="multilevel"/>
    <w:tmpl w:val="9976BBE8"/>
    <w:numStyleLink w:val="Bullets"/>
  </w:abstractNum>
  <w:abstractNum w:abstractNumId="13" w15:restartNumberingAfterBreak="0">
    <w:nsid w:val="25F84803"/>
    <w:multiLevelType w:val="hybridMultilevel"/>
    <w:tmpl w:val="A8CAC0C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D4514"/>
    <w:multiLevelType w:val="multilevel"/>
    <w:tmpl w:val="270C7736"/>
    <w:numStyleLink w:val="HeadingNumbers"/>
  </w:abstractNum>
  <w:abstractNum w:abstractNumId="15" w15:restartNumberingAfterBreak="0">
    <w:nsid w:val="34B95AA9"/>
    <w:multiLevelType w:val="multilevel"/>
    <w:tmpl w:val="9976BBE8"/>
    <w:numStyleLink w:val="Bullets"/>
  </w:abstractNum>
  <w:abstractNum w:abstractNumId="16" w15:restartNumberingAfterBreak="0">
    <w:nsid w:val="47DB6C6D"/>
    <w:multiLevelType w:val="multilevel"/>
    <w:tmpl w:val="A3742738"/>
    <w:styleLink w:val="Indent1Bullets"/>
    <w:lvl w:ilvl="0">
      <w:start w:val="1"/>
      <w:numFmt w:val="bullet"/>
      <w:pStyle w:val="Indent1Bullet1"/>
      <w:lvlText w:val=""/>
      <w:lvlJc w:val="left"/>
      <w:pPr>
        <w:ind w:left="936" w:hanging="369"/>
      </w:pPr>
      <w:rPr>
        <w:rFonts w:ascii="Wingdings" w:hAnsi="Wingdings" w:hint="default"/>
        <w:color w:val="313253" w:themeColor="accent5"/>
      </w:rPr>
    </w:lvl>
    <w:lvl w:ilvl="1">
      <w:start w:val="1"/>
      <w:numFmt w:val="bullet"/>
      <w:pStyle w:val="Indent1Bullet2"/>
      <w:lvlText w:val=""/>
      <w:lvlJc w:val="left"/>
      <w:pPr>
        <w:ind w:left="1304" w:hanging="368"/>
      </w:pPr>
      <w:rPr>
        <w:rFonts w:ascii="Wingdings" w:hAnsi="Wingdings" w:hint="default"/>
        <w:color w:val="C1A408" w:themeColor="accent4"/>
      </w:rPr>
    </w:lvl>
    <w:lvl w:ilvl="2">
      <w:start w:val="1"/>
      <w:numFmt w:val="bullet"/>
      <w:pStyle w:val="Indent1Bullet3"/>
      <w:lvlText w:val=""/>
      <w:lvlJc w:val="left"/>
      <w:pPr>
        <w:ind w:left="1673" w:hanging="369"/>
      </w:pPr>
      <w:rPr>
        <w:rFonts w:ascii="Wingdings" w:hAnsi="Wingdings" w:hint="default"/>
        <w:color w:val="6B6C6D" w:themeColor="accent3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027265A"/>
    <w:multiLevelType w:val="multilevel"/>
    <w:tmpl w:val="9976BBE8"/>
    <w:styleLink w:val="Bullets"/>
    <w:lvl w:ilvl="0">
      <w:start w:val="1"/>
      <w:numFmt w:val="bullet"/>
      <w:pStyle w:val="EMRCBulletText1"/>
      <w:lvlText w:val=""/>
      <w:lvlJc w:val="left"/>
      <w:pPr>
        <w:ind w:left="369" w:hanging="369"/>
      </w:pPr>
      <w:rPr>
        <w:rFonts w:ascii="Wingdings" w:hAnsi="Wingdings" w:hint="default"/>
        <w:color w:val="313253" w:themeColor="accent5"/>
      </w:rPr>
    </w:lvl>
    <w:lvl w:ilvl="1">
      <w:start w:val="1"/>
      <w:numFmt w:val="bullet"/>
      <w:pStyle w:val="EMRCBulletText2"/>
      <w:lvlText w:val=""/>
      <w:lvlJc w:val="left"/>
      <w:pPr>
        <w:ind w:left="737" w:hanging="368"/>
      </w:pPr>
      <w:rPr>
        <w:rFonts w:ascii="Wingdings" w:hAnsi="Wingdings" w:hint="default"/>
        <w:color w:val="C1A408" w:themeColor="accent4"/>
      </w:rPr>
    </w:lvl>
    <w:lvl w:ilvl="2">
      <w:start w:val="1"/>
      <w:numFmt w:val="bullet"/>
      <w:pStyle w:val="EMRCBulletText3"/>
      <w:lvlText w:val=""/>
      <w:lvlJc w:val="left"/>
      <w:pPr>
        <w:ind w:left="1106" w:hanging="369"/>
      </w:pPr>
      <w:rPr>
        <w:rFonts w:ascii="Wingdings" w:hAnsi="Wingdings" w:hint="default"/>
        <w:color w:val="6B6C6D" w:themeColor="accent3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5125776"/>
    <w:multiLevelType w:val="multilevel"/>
    <w:tmpl w:val="9976BBE8"/>
    <w:numStyleLink w:val="Bullets"/>
  </w:abstractNum>
  <w:abstractNum w:abstractNumId="19" w15:restartNumberingAfterBreak="0">
    <w:nsid w:val="6FA558B0"/>
    <w:multiLevelType w:val="multilevel"/>
    <w:tmpl w:val="270C7736"/>
    <w:numStyleLink w:val="HeadingNumbers"/>
  </w:abstractNum>
  <w:abstractNum w:abstractNumId="20" w15:restartNumberingAfterBreak="0">
    <w:nsid w:val="728D5E8F"/>
    <w:multiLevelType w:val="multilevel"/>
    <w:tmpl w:val="F5F8B19C"/>
    <w:lvl w:ilvl="0">
      <w:start w:val="1"/>
      <w:numFmt w:val="bullet"/>
      <w:lvlText w:val=""/>
      <w:lvlJc w:val="left"/>
      <w:pPr>
        <w:ind w:left="936" w:hanging="369"/>
      </w:pPr>
      <w:rPr>
        <w:rFonts w:ascii="Wingdings" w:hAnsi="Wingdings" w:hint="default"/>
        <w:color w:val="313253" w:themeColor="accent5"/>
      </w:rPr>
    </w:lvl>
    <w:lvl w:ilvl="1">
      <w:start w:val="1"/>
      <w:numFmt w:val="bullet"/>
      <w:lvlText w:val=""/>
      <w:lvlJc w:val="left"/>
      <w:pPr>
        <w:ind w:left="1304" w:hanging="368"/>
      </w:pPr>
      <w:rPr>
        <w:rFonts w:ascii="Wingdings" w:hAnsi="Wingdings" w:hint="default"/>
        <w:color w:val="C1A408" w:themeColor="accent4"/>
      </w:rPr>
    </w:lvl>
    <w:lvl w:ilvl="2">
      <w:start w:val="1"/>
      <w:numFmt w:val="bullet"/>
      <w:lvlText w:val=""/>
      <w:lvlJc w:val="left"/>
      <w:pPr>
        <w:ind w:left="1673" w:hanging="369"/>
      </w:pPr>
      <w:rPr>
        <w:rFonts w:ascii="Wingdings" w:hAnsi="Wingdings" w:hint="default"/>
        <w:color w:val="6B6C6D" w:themeColor="accent3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4EE1209"/>
    <w:multiLevelType w:val="multilevel"/>
    <w:tmpl w:val="270C7736"/>
    <w:styleLink w:val="HeadingNumbers"/>
    <w:lvl w:ilvl="0">
      <w:start w:val="1"/>
      <w:numFmt w:val="decimal"/>
      <w:pStyle w:val="Heading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418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418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22" w15:restartNumberingAfterBreak="0">
    <w:nsid w:val="7CDE15DD"/>
    <w:multiLevelType w:val="multilevel"/>
    <w:tmpl w:val="270C7736"/>
    <w:numStyleLink w:val="HeadingNumbers"/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7"/>
  </w:num>
  <w:num w:numId="5">
    <w:abstractNumId w:val="15"/>
  </w:num>
  <w:num w:numId="6">
    <w:abstractNumId w:val="18"/>
  </w:num>
  <w:num w:numId="7">
    <w:abstractNumId w:val="11"/>
  </w:num>
  <w:num w:numId="8">
    <w:abstractNumId w:val="12"/>
  </w:num>
  <w:num w:numId="9">
    <w:abstractNumId w:val="22"/>
  </w:num>
  <w:num w:numId="10">
    <w:abstractNumId w:val="22"/>
  </w:num>
  <w:num w:numId="11">
    <w:abstractNumId w:val="19"/>
  </w:num>
  <w:num w:numId="12">
    <w:abstractNumId w:val="17"/>
  </w:num>
  <w:num w:numId="13">
    <w:abstractNumId w:val="17"/>
  </w:num>
  <w:num w:numId="14">
    <w:abstractNumId w:val="17"/>
  </w:num>
  <w:num w:numId="15">
    <w:abstractNumId w:val="19"/>
  </w:num>
  <w:num w:numId="16">
    <w:abstractNumId w:val="19"/>
  </w:num>
  <w:num w:numId="17">
    <w:abstractNumId w:val="19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0"/>
  </w:num>
  <w:num w:numId="29">
    <w:abstractNumId w:val="10"/>
  </w:num>
  <w:num w:numId="30">
    <w:abstractNumId w:val="10"/>
  </w:num>
  <w:num w:numId="31">
    <w:abstractNumId w:val="20"/>
  </w:num>
  <w:num w:numId="32">
    <w:abstractNumId w:val="20"/>
  </w:num>
  <w:num w:numId="33">
    <w:abstractNumId w:val="20"/>
  </w:num>
  <w:num w:numId="34">
    <w:abstractNumId w:val="10"/>
  </w:num>
  <w:num w:numId="35">
    <w:abstractNumId w:val="10"/>
  </w:num>
  <w:num w:numId="36">
    <w:abstractNumId w:val="10"/>
  </w:num>
  <w:num w:numId="37">
    <w:abstractNumId w:val="17"/>
  </w:num>
  <w:num w:numId="38">
    <w:abstractNumId w:val="20"/>
  </w:num>
  <w:num w:numId="39">
    <w:abstractNumId w:val="20"/>
  </w:num>
  <w:num w:numId="40">
    <w:abstractNumId w:val="20"/>
  </w:num>
  <w:num w:numId="41">
    <w:abstractNumId w:val="16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11B"/>
    <w:rsid w:val="0000672B"/>
    <w:rsid w:val="00011D81"/>
    <w:rsid w:val="0005491B"/>
    <w:rsid w:val="0006313A"/>
    <w:rsid w:val="00074136"/>
    <w:rsid w:val="00083283"/>
    <w:rsid w:val="000D3355"/>
    <w:rsid w:val="001045F5"/>
    <w:rsid w:val="001079ED"/>
    <w:rsid w:val="001720E7"/>
    <w:rsid w:val="0017381F"/>
    <w:rsid w:val="00180EDE"/>
    <w:rsid w:val="00184472"/>
    <w:rsid w:val="001919DE"/>
    <w:rsid w:val="001B2A05"/>
    <w:rsid w:val="001E368A"/>
    <w:rsid w:val="00236FEC"/>
    <w:rsid w:val="002614A1"/>
    <w:rsid w:val="002A5B1F"/>
    <w:rsid w:val="002A7D93"/>
    <w:rsid w:val="002E5D7E"/>
    <w:rsid w:val="00305FD4"/>
    <w:rsid w:val="00325EFC"/>
    <w:rsid w:val="00347A2D"/>
    <w:rsid w:val="00355BC7"/>
    <w:rsid w:val="0037627F"/>
    <w:rsid w:val="003878C6"/>
    <w:rsid w:val="003D64F5"/>
    <w:rsid w:val="003E6897"/>
    <w:rsid w:val="00414980"/>
    <w:rsid w:val="00414B0A"/>
    <w:rsid w:val="00420DEE"/>
    <w:rsid w:val="00422F86"/>
    <w:rsid w:val="00440957"/>
    <w:rsid w:val="004458E3"/>
    <w:rsid w:val="00452DA6"/>
    <w:rsid w:val="004750C8"/>
    <w:rsid w:val="00475B98"/>
    <w:rsid w:val="0052126C"/>
    <w:rsid w:val="0052711B"/>
    <w:rsid w:val="00585140"/>
    <w:rsid w:val="005D2132"/>
    <w:rsid w:val="005D33C7"/>
    <w:rsid w:val="005E1539"/>
    <w:rsid w:val="005E34F1"/>
    <w:rsid w:val="005F3C2E"/>
    <w:rsid w:val="00615BBA"/>
    <w:rsid w:val="00620F89"/>
    <w:rsid w:val="00622286"/>
    <w:rsid w:val="00650777"/>
    <w:rsid w:val="0065260E"/>
    <w:rsid w:val="00654504"/>
    <w:rsid w:val="006670EB"/>
    <w:rsid w:val="006A32E9"/>
    <w:rsid w:val="00791E92"/>
    <w:rsid w:val="007B6004"/>
    <w:rsid w:val="007C620E"/>
    <w:rsid w:val="007E667C"/>
    <w:rsid w:val="007E6F1E"/>
    <w:rsid w:val="007F65C3"/>
    <w:rsid w:val="0081683A"/>
    <w:rsid w:val="008A3706"/>
    <w:rsid w:val="008B4DC4"/>
    <w:rsid w:val="008B7CD6"/>
    <w:rsid w:val="00935655"/>
    <w:rsid w:val="00961CBC"/>
    <w:rsid w:val="0099328D"/>
    <w:rsid w:val="009A404E"/>
    <w:rsid w:val="009B1D44"/>
    <w:rsid w:val="009B6858"/>
    <w:rsid w:val="009C5733"/>
    <w:rsid w:val="009F572B"/>
    <w:rsid w:val="00A16305"/>
    <w:rsid w:val="00A16568"/>
    <w:rsid w:val="00A52E08"/>
    <w:rsid w:val="00AA0ED3"/>
    <w:rsid w:val="00AC204D"/>
    <w:rsid w:val="00AE7D4D"/>
    <w:rsid w:val="00B43775"/>
    <w:rsid w:val="00B536C9"/>
    <w:rsid w:val="00B567B6"/>
    <w:rsid w:val="00B638CE"/>
    <w:rsid w:val="00B8027B"/>
    <w:rsid w:val="00B91D09"/>
    <w:rsid w:val="00BB0C1B"/>
    <w:rsid w:val="00BB15A3"/>
    <w:rsid w:val="00BC4814"/>
    <w:rsid w:val="00BC779E"/>
    <w:rsid w:val="00BD0580"/>
    <w:rsid w:val="00C26C82"/>
    <w:rsid w:val="00C53065"/>
    <w:rsid w:val="00CB0E7C"/>
    <w:rsid w:val="00CD4612"/>
    <w:rsid w:val="00CE0CCB"/>
    <w:rsid w:val="00CF5DCA"/>
    <w:rsid w:val="00CF6F02"/>
    <w:rsid w:val="00D00A90"/>
    <w:rsid w:val="00D07AE1"/>
    <w:rsid w:val="00D154F5"/>
    <w:rsid w:val="00D31047"/>
    <w:rsid w:val="00D767E5"/>
    <w:rsid w:val="00D827EA"/>
    <w:rsid w:val="00DC36FF"/>
    <w:rsid w:val="00DC46D2"/>
    <w:rsid w:val="00DD1587"/>
    <w:rsid w:val="00E02583"/>
    <w:rsid w:val="00E02FD7"/>
    <w:rsid w:val="00E16C4E"/>
    <w:rsid w:val="00E3426A"/>
    <w:rsid w:val="00E74D9C"/>
    <w:rsid w:val="00E86EDF"/>
    <w:rsid w:val="00EA0B29"/>
    <w:rsid w:val="00EA4C04"/>
    <w:rsid w:val="00EA4D54"/>
    <w:rsid w:val="00EC2F45"/>
    <w:rsid w:val="00EE196D"/>
    <w:rsid w:val="00EE1F6E"/>
    <w:rsid w:val="00EE3102"/>
    <w:rsid w:val="00F14062"/>
    <w:rsid w:val="00F30506"/>
    <w:rsid w:val="00F53018"/>
    <w:rsid w:val="00F6302C"/>
    <w:rsid w:val="00F63C98"/>
    <w:rsid w:val="00F6749A"/>
    <w:rsid w:val="00F67B9B"/>
    <w:rsid w:val="00F929E7"/>
    <w:rsid w:val="00F94EDC"/>
    <w:rsid w:val="00FA257C"/>
    <w:rsid w:val="00FB42C6"/>
    <w:rsid w:val="00FF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05ED62-432E-49E1-8BBC-F631216E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6568"/>
    <w:pPr>
      <w:spacing w:after="0" w:line="240" w:lineRule="auto"/>
      <w:jc w:val="both"/>
    </w:pPr>
  </w:style>
  <w:style w:type="paragraph" w:styleId="Heading1">
    <w:name w:val="heading 1"/>
    <w:next w:val="Normal"/>
    <w:link w:val="Heading1Char"/>
    <w:qFormat/>
    <w:rsid w:val="00420DEE"/>
    <w:pPr>
      <w:keepNext/>
      <w:keepLines/>
      <w:numPr>
        <w:numId w:val="17"/>
      </w:numPr>
      <w:spacing w:before="240" w:after="180" w:line="240" w:lineRule="auto"/>
      <w:outlineLvl w:val="0"/>
    </w:pPr>
    <w:rPr>
      <w:rFonts w:asciiTheme="majorHAnsi" w:eastAsiaTheme="majorEastAsia" w:hAnsiTheme="majorHAnsi" w:cstheme="majorBidi"/>
      <w:b/>
      <w:color w:val="313253" w:themeColor="accent5"/>
      <w:sz w:val="24"/>
      <w:szCs w:val="32"/>
      <w:lang w:val="en-US"/>
    </w:rPr>
  </w:style>
  <w:style w:type="paragraph" w:styleId="Heading2">
    <w:name w:val="heading 2"/>
    <w:basedOn w:val="Heading1"/>
    <w:next w:val="Normal"/>
    <w:link w:val="Heading2Char"/>
    <w:uiPriority w:val="1"/>
    <w:unhideWhenUsed/>
    <w:qFormat/>
    <w:rsid w:val="00420DEE"/>
    <w:pPr>
      <w:numPr>
        <w:ilvl w:val="1"/>
      </w:numPr>
      <w:outlineLvl w:val="1"/>
    </w:pPr>
    <w:rPr>
      <w:color w:val="C1A408" w:themeColor="accent4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20DEE"/>
    <w:pPr>
      <w:numPr>
        <w:ilvl w:val="2"/>
      </w:numPr>
      <w:outlineLvl w:val="2"/>
    </w:pPr>
    <w:rPr>
      <w:color w:val="6B6C6D" w:themeColor="accent3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EDE"/>
    <w:pPr>
      <w:tabs>
        <w:tab w:val="center" w:pos="4820"/>
        <w:tab w:val="right" w:pos="9673"/>
      </w:tabs>
      <w:spacing w:after="240"/>
    </w:pPr>
  </w:style>
  <w:style w:type="character" w:customStyle="1" w:styleId="HeaderChar">
    <w:name w:val="Header Char"/>
    <w:basedOn w:val="DefaultParagraphFont"/>
    <w:link w:val="Header"/>
    <w:uiPriority w:val="99"/>
    <w:rsid w:val="00180EDE"/>
  </w:style>
  <w:style w:type="paragraph" w:styleId="Footer">
    <w:name w:val="footer"/>
    <w:basedOn w:val="Normal"/>
    <w:link w:val="FooterChar"/>
    <w:uiPriority w:val="99"/>
    <w:unhideWhenUsed/>
    <w:rsid w:val="00180EDE"/>
    <w:pPr>
      <w:pBdr>
        <w:top w:val="single" w:sz="4" w:space="1" w:color="313253" w:themeColor="accent5"/>
      </w:pBdr>
      <w:tabs>
        <w:tab w:val="center" w:pos="4820"/>
        <w:tab w:val="right" w:pos="9715"/>
      </w:tabs>
      <w:spacing w:after="240"/>
      <w:jc w:val="right"/>
    </w:pPr>
    <w:rPr>
      <w:color w:val="313253" w:themeColor="accent5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80EDE"/>
    <w:rPr>
      <w:color w:val="313253" w:themeColor="accent5"/>
      <w:sz w:val="16"/>
    </w:rPr>
  </w:style>
  <w:style w:type="character" w:styleId="Hyperlink">
    <w:name w:val="Hyperlink"/>
    <w:basedOn w:val="DefaultParagraphFont"/>
    <w:uiPriority w:val="99"/>
    <w:unhideWhenUsed/>
    <w:rsid w:val="00D767E5"/>
    <w:rPr>
      <w:color w:val="6B6C6D" w:themeColor="hyperlink"/>
      <w:u w:val="single"/>
    </w:rPr>
  </w:style>
  <w:style w:type="table" w:styleId="TableGrid">
    <w:name w:val="Table Grid"/>
    <w:basedOn w:val="TableNormal"/>
    <w:uiPriority w:val="59"/>
    <w:rsid w:val="00AC2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urReference">
    <w:name w:val="OurReference"/>
    <w:basedOn w:val="Normal"/>
    <w:qFormat/>
    <w:rsid w:val="009B6858"/>
    <w:pPr>
      <w:tabs>
        <w:tab w:val="left" w:pos="7797"/>
      </w:tabs>
      <w:ind w:left="6917"/>
    </w:pPr>
    <w:rPr>
      <w:color w:val="313253" w:themeColor="accent5"/>
      <w:sz w:val="18"/>
      <w:szCs w:val="18"/>
    </w:rPr>
  </w:style>
  <w:style w:type="paragraph" w:customStyle="1" w:styleId="SignBlockEMRC">
    <w:name w:val="_Sign Block EMRC"/>
    <w:basedOn w:val="Normal"/>
    <w:next w:val="Normal"/>
    <w:qFormat/>
    <w:rsid w:val="00A16568"/>
    <w:rPr>
      <w:b/>
      <w:bCs/>
      <w:color w:val="313253" w:themeColor="accent5"/>
    </w:rPr>
  </w:style>
  <w:style w:type="paragraph" w:customStyle="1" w:styleId="SignBlockWriterTitle">
    <w:name w:val="_Sign Block Writer Title"/>
    <w:basedOn w:val="Normal"/>
    <w:next w:val="Normal"/>
    <w:qFormat/>
    <w:rsid w:val="009B6858"/>
    <w:rPr>
      <w:color w:val="6B6C6D" w:themeColor="accent3"/>
    </w:rPr>
  </w:style>
  <w:style w:type="paragraph" w:customStyle="1" w:styleId="Subject">
    <w:name w:val="_Subject"/>
    <w:basedOn w:val="Normal"/>
    <w:next w:val="Normal"/>
    <w:qFormat/>
    <w:rsid w:val="009A404E"/>
    <w:rPr>
      <w:rFonts w:ascii="Arial Narrow" w:hAnsi="Arial Narrow"/>
      <w:b/>
    </w:rPr>
  </w:style>
  <w:style w:type="character" w:customStyle="1" w:styleId="Heading1Char">
    <w:name w:val="Heading 1 Char"/>
    <w:basedOn w:val="DefaultParagraphFont"/>
    <w:link w:val="Heading1"/>
    <w:rsid w:val="00420DEE"/>
    <w:rPr>
      <w:rFonts w:asciiTheme="majorHAnsi" w:eastAsiaTheme="majorEastAsia" w:hAnsiTheme="majorHAnsi" w:cstheme="majorBidi"/>
      <w:b/>
      <w:color w:val="313253" w:themeColor="accent5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420DEE"/>
    <w:rPr>
      <w:rFonts w:asciiTheme="majorHAnsi" w:eastAsiaTheme="majorEastAsia" w:hAnsiTheme="majorHAnsi" w:cstheme="majorBidi"/>
      <w:b/>
      <w:color w:val="C1A408" w:themeColor="accent4"/>
      <w:sz w:val="24"/>
      <w:szCs w:val="26"/>
      <w:lang w:val="en-US"/>
    </w:rPr>
  </w:style>
  <w:style w:type="numbering" w:customStyle="1" w:styleId="HeadingNumbers">
    <w:name w:val="Heading Numbers"/>
    <w:uiPriority w:val="99"/>
    <w:rsid w:val="007C620E"/>
    <w:pPr>
      <w:numPr>
        <w:numId w:val="1"/>
      </w:numPr>
    </w:pPr>
  </w:style>
  <w:style w:type="paragraph" w:customStyle="1" w:styleId="EMRCBulletText1">
    <w:name w:val="_EMRC Bullet Text 1"/>
    <w:basedOn w:val="Normal"/>
    <w:qFormat/>
    <w:rsid w:val="00180EDE"/>
    <w:pPr>
      <w:numPr>
        <w:numId w:val="37"/>
      </w:numPr>
      <w:spacing w:after="120"/>
    </w:pPr>
  </w:style>
  <w:style w:type="numbering" w:customStyle="1" w:styleId="Bullets">
    <w:name w:val="Bullets"/>
    <w:uiPriority w:val="99"/>
    <w:rsid w:val="00180EDE"/>
    <w:pPr>
      <w:numPr>
        <w:numId w:val="4"/>
      </w:numPr>
    </w:pPr>
  </w:style>
  <w:style w:type="paragraph" w:customStyle="1" w:styleId="EMRCBulletText2">
    <w:name w:val="_EMRC Bullet Text 2"/>
    <w:basedOn w:val="EMRCBulletText1"/>
    <w:qFormat/>
    <w:rsid w:val="00180EDE"/>
    <w:pPr>
      <w:numPr>
        <w:ilvl w:val="1"/>
      </w:numPr>
    </w:pPr>
  </w:style>
  <w:style w:type="paragraph" w:customStyle="1" w:styleId="EMRCBulletText3">
    <w:name w:val="_EMRC Bullet Text 3"/>
    <w:basedOn w:val="EMRCBulletText2"/>
    <w:qFormat/>
    <w:rsid w:val="00180EDE"/>
    <w:pPr>
      <w:numPr>
        <w:ilvl w:val="2"/>
      </w:numPr>
    </w:pPr>
  </w:style>
  <w:style w:type="character" w:styleId="Emphasis">
    <w:name w:val="Emphasis"/>
    <w:basedOn w:val="DefaultParagraphFont"/>
    <w:uiPriority w:val="20"/>
    <w:qFormat/>
    <w:rsid w:val="00BC779E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420DEE"/>
    <w:rPr>
      <w:rFonts w:asciiTheme="majorHAnsi" w:eastAsiaTheme="majorEastAsia" w:hAnsiTheme="majorHAnsi" w:cstheme="majorBidi"/>
      <w:b/>
      <w:color w:val="6B6C6D" w:themeColor="accent3"/>
      <w:sz w:val="24"/>
      <w:szCs w:val="24"/>
      <w:lang w:val="en-US"/>
    </w:rPr>
  </w:style>
  <w:style w:type="paragraph" w:customStyle="1" w:styleId="1CoverPageEMRC">
    <w:name w:val="_1Cover Page EMRC"/>
    <w:basedOn w:val="Normal"/>
    <w:next w:val="Normal"/>
    <w:qFormat/>
    <w:rsid w:val="006670EB"/>
    <w:pPr>
      <w:spacing w:before="960" w:after="240"/>
    </w:pPr>
    <w:rPr>
      <w:rFonts w:asciiTheme="majorHAnsi" w:hAnsiTheme="majorHAnsi"/>
      <w:b/>
      <w:bCs/>
      <w:color w:val="313253" w:themeColor="accent5"/>
      <w:sz w:val="48"/>
      <w:szCs w:val="48"/>
    </w:rPr>
  </w:style>
  <w:style w:type="paragraph" w:customStyle="1" w:styleId="2CoverPageDepartment">
    <w:name w:val="_2Cover Page Department"/>
    <w:basedOn w:val="Normal"/>
    <w:next w:val="Normal"/>
    <w:qFormat/>
    <w:rsid w:val="006670EB"/>
    <w:pPr>
      <w:spacing w:after="240"/>
    </w:pPr>
    <w:rPr>
      <w:b/>
      <w:color w:val="313253" w:themeColor="accent5"/>
      <w:sz w:val="36"/>
      <w:szCs w:val="36"/>
    </w:rPr>
  </w:style>
  <w:style w:type="paragraph" w:customStyle="1" w:styleId="3CoverPageTitle">
    <w:name w:val="_3Cover Page Title"/>
    <w:basedOn w:val="Normal"/>
    <w:next w:val="Normal"/>
    <w:qFormat/>
    <w:rsid w:val="006670EB"/>
    <w:pPr>
      <w:spacing w:after="240"/>
    </w:pPr>
    <w:rPr>
      <w:b/>
      <w:color w:val="C1A408" w:themeColor="accent4"/>
      <w:sz w:val="28"/>
      <w:szCs w:val="28"/>
    </w:rPr>
  </w:style>
  <w:style w:type="paragraph" w:customStyle="1" w:styleId="4CoverPageSubtitle">
    <w:name w:val="_4Cover Page Subtitle"/>
    <w:basedOn w:val="Normal"/>
    <w:next w:val="Normal"/>
    <w:qFormat/>
    <w:rsid w:val="00180EDE"/>
    <w:pPr>
      <w:spacing w:after="480"/>
      <w:jc w:val="center"/>
    </w:pPr>
    <w:rPr>
      <w:b/>
      <w:bCs/>
      <w:color w:val="313253" w:themeColor="accent5"/>
      <w:sz w:val="48"/>
      <w:szCs w:val="48"/>
    </w:rPr>
  </w:style>
  <w:style w:type="paragraph" w:customStyle="1" w:styleId="HeadingNoNumber">
    <w:name w:val="_Heading No Number"/>
    <w:next w:val="Normal"/>
    <w:qFormat/>
    <w:rsid w:val="00180EDE"/>
    <w:pPr>
      <w:spacing w:before="240" w:after="180" w:line="240" w:lineRule="auto"/>
    </w:pPr>
    <w:rPr>
      <w:rFonts w:asciiTheme="majorHAnsi" w:eastAsiaTheme="majorEastAsia" w:hAnsiTheme="majorHAnsi" w:cstheme="majorBidi"/>
      <w:b/>
      <w:color w:val="313253" w:themeColor="accent5"/>
      <w:sz w:val="24"/>
      <w:szCs w:val="32"/>
      <w:lang w:val="en-US"/>
    </w:rPr>
  </w:style>
  <w:style w:type="paragraph" w:customStyle="1" w:styleId="Indent1">
    <w:name w:val="_Indent 1"/>
    <w:basedOn w:val="Normal"/>
    <w:qFormat/>
    <w:rsid w:val="00180EDE"/>
    <w:pPr>
      <w:spacing w:after="240"/>
      <w:ind w:left="567"/>
    </w:pPr>
  </w:style>
  <w:style w:type="paragraph" w:customStyle="1" w:styleId="Indent2">
    <w:name w:val="_Indent 2"/>
    <w:basedOn w:val="Indent1"/>
    <w:qFormat/>
    <w:rsid w:val="00180EDE"/>
    <w:pPr>
      <w:ind w:left="1418"/>
    </w:pPr>
  </w:style>
  <w:style w:type="paragraph" w:customStyle="1" w:styleId="Indent1Bullet1">
    <w:name w:val="_Indent1Bullet1"/>
    <w:basedOn w:val="Normal"/>
    <w:qFormat/>
    <w:rsid w:val="00180EDE"/>
    <w:pPr>
      <w:numPr>
        <w:numId w:val="41"/>
      </w:numPr>
      <w:spacing w:after="120"/>
    </w:pPr>
  </w:style>
  <w:style w:type="paragraph" w:customStyle="1" w:styleId="Indent1Bullet2">
    <w:name w:val="_Indent1Bullet2"/>
    <w:basedOn w:val="Normal"/>
    <w:qFormat/>
    <w:rsid w:val="00180EDE"/>
    <w:pPr>
      <w:numPr>
        <w:ilvl w:val="1"/>
        <w:numId w:val="41"/>
      </w:numPr>
      <w:spacing w:after="120"/>
    </w:pPr>
  </w:style>
  <w:style w:type="paragraph" w:customStyle="1" w:styleId="Indent1Bullet3">
    <w:name w:val="_Indent1Bullet3"/>
    <w:basedOn w:val="Normal"/>
    <w:qFormat/>
    <w:rsid w:val="00180EDE"/>
    <w:pPr>
      <w:numPr>
        <w:ilvl w:val="2"/>
        <w:numId w:val="41"/>
      </w:numPr>
      <w:spacing w:after="120"/>
    </w:pPr>
  </w:style>
  <w:style w:type="paragraph" w:customStyle="1" w:styleId="ListShiresFooter">
    <w:name w:val="_List Shires Footer"/>
    <w:basedOn w:val="Normal"/>
    <w:qFormat/>
    <w:rsid w:val="00180EDE"/>
    <w:pPr>
      <w:spacing w:after="240"/>
      <w:jc w:val="center"/>
    </w:pPr>
    <w:rPr>
      <w:rFonts w:ascii="Arial Narrow" w:hAnsi="Arial Narrow"/>
      <w:color w:val="6B6C6D" w:themeColor="accent3"/>
      <w:sz w:val="18"/>
      <w:szCs w:val="18"/>
    </w:rPr>
  </w:style>
  <w:style w:type="paragraph" w:customStyle="1" w:styleId="TOCHeading">
    <w:name w:val="_TOC Heading"/>
    <w:basedOn w:val="Normal"/>
    <w:next w:val="Normal"/>
    <w:qFormat/>
    <w:rsid w:val="00180EDE"/>
    <w:pPr>
      <w:spacing w:after="240"/>
    </w:pPr>
    <w:rPr>
      <w:b/>
      <w:color w:val="313253" w:themeColor="accent5"/>
      <w:sz w:val="36"/>
      <w:szCs w:val="36"/>
    </w:rPr>
  </w:style>
  <w:style w:type="table" w:customStyle="1" w:styleId="EMRCReportTable">
    <w:name w:val="EMRC Report Table"/>
    <w:basedOn w:val="TableNormal"/>
    <w:uiPriority w:val="99"/>
    <w:rsid w:val="00180EDE"/>
    <w:pPr>
      <w:spacing w:after="0" w:line="240" w:lineRule="auto"/>
    </w:pPr>
    <w:rPr>
      <w:sz w:val="18"/>
    </w:rPr>
    <w:tblPr/>
    <w:tcPr>
      <w:shd w:val="clear" w:color="auto" w:fill="auto"/>
    </w:tcPr>
    <w:tblStylePr w:type="firstRow">
      <w:pPr>
        <w:jc w:val="center"/>
      </w:pPr>
      <w:rPr>
        <w:rFonts w:ascii="Arial Narrow" w:hAnsi="Arial Narrow"/>
        <w:color w:val="C1A408" w:themeColor="accent4"/>
        <w:sz w:val="18"/>
      </w:rPr>
      <w:tblPr/>
      <w:tcPr>
        <w:shd w:val="clear" w:color="auto" w:fill="313253" w:themeFill="accent5"/>
      </w:tcPr>
    </w:tblStylePr>
    <w:tblStylePr w:type="lastRow">
      <w:rPr>
        <w:rFonts w:asciiTheme="minorHAnsi" w:hAnsiTheme="minorHAnsi"/>
        <w:sz w:val="18"/>
      </w:rPr>
    </w:tblStylePr>
  </w:style>
  <w:style w:type="numbering" w:customStyle="1" w:styleId="Indent1Bullets">
    <w:name w:val="Indent1Bullets"/>
    <w:uiPriority w:val="99"/>
    <w:rsid w:val="00180EDE"/>
    <w:pPr>
      <w:numPr>
        <w:numId w:val="41"/>
      </w:numPr>
    </w:pPr>
  </w:style>
  <w:style w:type="paragraph" w:styleId="TOC1">
    <w:name w:val="toc 1"/>
    <w:basedOn w:val="Normal"/>
    <w:next w:val="Normal"/>
    <w:uiPriority w:val="39"/>
    <w:unhideWhenUsed/>
    <w:rsid w:val="00180EDE"/>
    <w:pPr>
      <w:tabs>
        <w:tab w:val="right" w:leader="dot" w:pos="9713"/>
      </w:tabs>
      <w:spacing w:after="100"/>
      <w:ind w:left="567" w:right="284" w:hanging="567"/>
    </w:pPr>
    <w:rPr>
      <w:noProof/>
    </w:rPr>
  </w:style>
  <w:style w:type="paragraph" w:styleId="TOC2">
    <w:name w:val="toc 2"/>
    <w:basedOn w:val="Normal"/>
    <w:next w:val="Normal"/>
    <w:uiPriority w:val="39"/>
    <w:unhideWhenUsed/>
    <w:rsid w:val="00180EDE"/>
    <w:pPr>
      <w:tabs>
        <w:tab w:val="right" w:leader="dot" w:pos="9713"/>
      </w:tabs>
      <w:spacing w:after="100"/>
      <w:ind w:left="1134" w:right="284" w:hanging="567"/>
    </w:pPr>
    <w:rPr>
      <w:noProof/>
    </w:rPr>
  </w:style>
  <w:style w:type="paragraph" w:styleId="TOC3">
    <w:name w:val="toc 3"/>
    <w:basedOn w:val="Normal"/>
    <w:next w:val="Normal"/>
    <w:uiPriority w:val="39"/>
    <w:unhideWhenUsed/>
    <w:rsid w:val="00180EDE"/>
    <w:pPr>
      <w:tabs>
        <w:tab w:val="right" w:leader="dot" w:pos="9713"/>
      </w:tabs>
      <w:spacing w:after="100"/>
      <w:ind w:left="1134" w:right="284" w:hanging="567"/>
    </w:pPr>
  </w:style>
  <w:style w:type="paragraph" w:styleId="ListParagraph">
    <w:name w:val="List Paragraph"/>
    <w:basedOn w:val="Normal"/>
    <w:uiPriority w:val="34"/>
    <w:qFormat/>
    <w:rsid w:val="00414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mrc.org.au\DFS\DOCS\Templates\Office2019\Management%20Guideline%20-%20January%202021.dotx" TargetMode="External"/></Relationships>
</file>

<file path=word/theme/theme1.xml><?xml version="1.0" encoding="utf-8"?>
<a:theme xmlns:a="http://schemas.openxmlformats.org/drawingml/2006/main" name="EMRC">
  <a:themeElements>
    <a:clrScheme name="EMRC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0000"/>
      </a:accent1>
      <a:accent2>
        <a:srgbClr val="F68B32"/>
      </a:accent2>
      <a:accent3>
        <a:srgbClr val="6B6C6D"/>
      </a:accent3>
      <a:accent4>
        <a:srgbClr val="C1A408"/>
      </a:accent4>
      <a:accent5>
        <a:srgbClr val="313253"/>
      </a:accent5>
      <a:accent6>
        <a:srgbClr val="76923C"/>
      </a:accent6>
      <a:hlink>
        <a:srgbClr val="6B6C6D"/>
      </a:hlink>
      <a:folHlink>
        <a:srgbClr val="6B6C6D"/>
      </a:folHlink>
    </a:clrScheme>
    <a:fontScheme name="EMRC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Management Guideline - January 2021.dotx</Template>
  <TotalTime>348</TotalTime>
  <Pages>3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Metropolitan Regional Council</Company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Krzysko</dc:creator>
  <cp:keywords/>
  <dc:description/>
  <cp:lastModifiedBy>Lee Loughnan</cp:lastModifiedBy>
  <cp:revision>22</cp:revision>
  <cp:lastPrinted>2021-07-19T08:43:00Z</cp:lastPrinted>
  <dcterms:created xsi:type="dcterms:W3CDTF">2021-05-18T02:17:00Z</dcterms:created>
  <dcterms:modified xsi:type="dcterms:W3CDTF">2021-09-15T03:26:00Z</dcterms:modified>
</cp:coreProperties>
</file>