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4A" w:rsidRDefault="00B16F4A">
      <w:pPr>
        <w:pStyle w:val="Header"/>
        <w:tabs>
          <w:tab w:val="clear" w:pos="4153"/>
          <w:tab w:val="clear" w:pos="8306"/>
        </w:tabs>
        <w:rPr>
          <w:lang w:val="en-US"/>
        </w:rPr>
      </w:pPr>
    </w:p>
    <w:p w:rsidR="00B16F4A" w:rsidRDefault="00B16F4A">
      <w:pPr>
        <w:pStyle w:val="Header"/>
        <w:tabs>
          <w:tab w:val="clear" w:pos="4153"/>
          <w:tab w:val="clear" w:pos="8306"/>
        </w:tabs>
        <w:rPr>
          <w:lang w:val="en-US"/>
        </w:rPr>
      </w:pPr>
    </w:p>
    <w:p w:rsidR="00B16F4A" w:rsidRDefault="00B16F4A">
      <w:pPr>
        <w:pStyle w:val="Header"/>
        <w:tabs>
          <w:tab w:val="clear" w:pos="4153"/>
          <w:tab w:val="clear" w:pos="8306"/>
        </w:tabs>
        <w:rPr>
          <w:lang w:val="en-US"/>
        </w:rPr>
      </w:pPr>
    </w:p>
    <w:p w:rsidR="00B16F4A" w:rsidRDefault="00B16F4A">
      <w:pPr>
        <w:pStyle w:val="Header"/>
        <w:tabs>
          <w:tab w:val="clear" w:pos="4153"/>
          <w:tab w:val="clear" w:pos="8306"/>
        </w:tabs>
        <w:rPr>
          <w:lang w:val="en-US"/>
        </w:rPr>
      </w:pPr>
    </w:p>
    <w:p w:rsidR="00B16F4A" w:rsidRDefault="0017761F">
      <w:pPr>
        <w:pStyle w:val="Title"/>
        <w:ind w:left="720" w:hanging="720"/>
        <w:rPr>
          <w:b/>
          <w:lang w:val="en-US"/>
        </w:rPr>
      </w:pPr>
      <w:r>
        <w:rPr>
          <w:b/>
        </w:rPr>
        <w:t>1.</w:t>
      </w:r>
      <w:r w:rsidR="002E53E0">
        <w:rPr>
          <w:b/>
        </w:rPr>
        <w:t>5</w:t>
      </w:r>
      <w:r w:rsidR="00B16F4A" w:rsidRPr="009E724A">
        <w:rPr>
          <w:b/>
        </w:rPr>
        <w:tab/>
      </w:r>
      <w:r w:rsidR="001C3D44">
        <w:rPr>
          <w:b/>
        </w:rPr>
        <w:tab/>
      </w:r>
      <w:r w:rsidR="00B16F4A" w:rsidRPr="009E724A">
        <w:rPr>
          <w:b/>
        </w:rPr>
        <w:t xml:space="preserve">Meeting Agenda / Minutes – </w:t>
      </w:r>
      <w:r w:rsidR="001C3D44">
        <w:rPr>
          <w:b/>
        </w:rPr>
        <w:tab/>
      </w:r>
      <w:r w:rsidR="00B16F4A" w:rsidRPr="009E724A">
        <w:rPr>
          <w:b/>
        </w:rPr>
        <w:t>Confidential Items Policy</w:t>
      </w:r>
      <w:r w:rsidR="00B16F4A" w:rsidRPr="009E724A">
        <w:rPr>
          <w:b/>
          <w:lang w:val="en-US"/>
        </w:rPr>
        <w:t xml:space="preserve"> </w:t>
      </w:r>
    </w:p>
    <w:p w:rsidR="009E5324" w:rsidRPr="005778A7" w:rsidRDefault="009E5324" w:rsidP="00C82AFC">
      <w:pPr>
        <w:pStyle w:val="Heading1"/>
        <w:spacing w:after="240"/>
        <w:rPr>
          <w:b/>
        </w:rPr>
      </w:pPr>
      <w:r w:rsidRPr="005778A7">
        <w:rPr>
          <w:b/>
        </w:rPr>
        <w:t xml:space="preserve">STRATEGIC PLAN OBJECTIVE </w:t>
      </w:r>
    </w:p>
    <w:p w:rsidR="009E5324" w:rsidRPr="009E5324" w:rsidRDefault="00012F44" w:rsidP="00C82AFC">
      <w:pPr>
        <w:jc w:val="both"/>
        <w:rPr>
          <w:lang w:val="en-US"/>
        </w:rPr>
      </w:pPr>
      <w:r>
        <w:rPr>
          <w:lang w:val="en-US"/>
        </w:rPr>
        <w:t>3</w:t>
      </w:r>
      <w:r w:rsidR="009E5324">
        <w:rPr>
          <w:lang w:val="en-US"/>
        </w:rPr>
        <w:t>.</w:t>
      </w:r>
      <w:r w:rsidR="00E8242E">
        <w:rPr>
          <w:lang w:val="en-US"/>
        </w:rPr>
        <w:t>3</w:t>
      </w:r>
      <w:r w:rsidR="00552525">
        <w:rPr>
          <w:lang w:val="en-US"/>
        </w:rPr>
        <w:tab/>
      </w:r>
      <w:r w:rsidR="009E5324">
        <w:rPr>
          <w:lang w:val="en-US"/>
        </w:rPr>
        <w:t>To provide responsible and accountable governance and management of the EMRC</w:t>
      </w:r>
      <w:r w:rsidR="00C75F1D">
        <w:rPr>
          <w:lang w:val="en-US"/>
        </w:rPr>
        <w:t>.</w:t>
      </w:r>
    </w:p>
    <w:p w:rsidR="00B16F4A" w:rsidRPr="005778A7" w:rsidRDefault="00B16F4A" w:rsidP="00C82AFC">
      <w:pPr>
        <w:pStyle w:val="Heading1"/>
        <w:spacing w:after="240"/>
        <w:jc w:val="both"/>
        <w:rPr>
          <w:b/>
        </w:rPr>
      </w:pPr>
      <w:r w:rsidRPr="005778A7">
        <w:rPr>
          <w:b/>
        </w:rPr>
        <w:t>PURPOSE</w:t>
      </w:r>
    </w:p>
    <w:p w:rsidR="00B16F4A" w:rsidRDefault="00B16F4A" w:rsidP="00C82AFC">
      <w:pPr>
        <w:jc w:val="both"/>
      </w:pPr>
      <w:r>
        <w:t xml:space="preserve">To ensure that confidential items, appearing on the Council </w:t>
      </w:r>
      <w:r w:rsidR="007D33C4">
        <w:t>and</w:t>
      </w:r>
      <w:r w:rsidR="002A0105">
        <w:t>/</w:t>
      </w:r>
      <w:r w:rsidR="007D33C4">
        <w:t xml:space="preserve">or Committee </w:t>
      </w:r>
      <w:r>
        <w:t>agenda</w:t>
      </w:r>
      <w:r w:rsidR="007D33C4">
        <w:t>s</w:t>
      </w:r>
      <w:r>
        <w:t xml:space="preserve"> are easily recognised so that they can be dealt with in accordance with their special nature.</w:t>
      </w:r>
    </w:p>
    <w:p w:rsidR="001A7F9D" w:rsidRPr="005778A7" w:rsidRDefault="0007542E" w:rsidP="00C82AFC">
      <w:pPr>
        <w:pStyle w:val="Heading1"/>
        <w:spacing w:after="240"/>
        <w:jc w:val="both"/>
        <w:rPr>
          <w:b/>
        </w:rPr>
      </w:pPr>
      <w:r w:rsidRPr="005778A7">
        <w:rPr>
          <w:b/>
        </w:rPr>
        <w:t>LEGISLATION</w:t>
      </w:r>
    </w:p>
    <w:p w:rsidR="0007542E" w:rsidRPr="00B2739B" w:rsidRDefault="0007542E" w:rsidP="00C82AFC">
      <w:pPr>
        <w:pStyle w:val="Heading1"/>
        <w:spacing w:before="100" w:beforeAutospacing="1" w:after="0"/>
        <w:jc w:val="both"/>
        <w:rPr>
          <w:color w:val="auto"/>
          <w:sz w:val="20"/>
          <w:szCs w:val="20"/>
        </w:rPr>
      </w:pPr>
      <w:r w:rsidRPr="00C82AFC">
        <w:rPr>
          <w:i/>
          <w:color w:val="auto"/>
          <w:sz w:val="20"/>
          <w:szCs w:val="20"/>
        </w:rPr>
        <w:t>Local Government Act 1995</w:t>
      </w:r>
      <w:r w:rsidR="00B61479">
        <w:rPr>
          <w:color w:val="auto"/>
          <w:sz w:val="20"/>
          <w:szCs w:val="20"/>
        </w:rPr>
        <w:t xml:space="preserve"> </w:t>
      </w:r>
      <w:r w:rsidR="00012F44">
        <w:rPr>
          <w:color w:val="auto"/>
          <w:sz w:val="20"/>
          <w:szCs w:val="20"/>
        </w:rPr>
        <w:t xml:space="preserve">s.5.23, </w:t>
      </w:r>
      <w:proofErr w:type="gramStart"/>
      <w:r w:rsidR="000A3051">
        <w:rPr>
          <w:color w:val="auto"/>
          <w:sz w:val="20"/>
          <w:szCs w:val="20"/>
        </w:rPr>
        <w:t>s</w:t>
      </w:r>
      <w:r w:rsidR="00012F44">
        <w:rPr>
          <w:color w:val="auto"/>
          <w:sz w:val="20"/>
          <w:szCs w:val="20"/>
        </w:rPr>
        <w:t>.</w:t>
      </w:r>
      <w:r w:rsidR="00B61479">
        <w:rPr>
          <w:color w:val="auto"/>
          <w:sz w:val="20"/>
          <w:szCs w:val="20"/>
        </w:rPr>
        <w:t>5.25(</w:t>
      </w:r>
      <w:proofErr w:type="gramEnd"/>
      <w:r w:rsidR="00B61479">
        <w:rPr>
          <w:color w:val="auto"/>
          <w:sz w:val="20"/>
          <w:szCs w:val="20"/>
        </w:rPr>
        <w:t xml:space="preserve">1)(j), </w:t>
      </w:r>
      <w:r w:rsidRPr="00B2739B">
        <w:rPr>
          <w:color w:val="auto"/>
          <w:sz w:val="20"/>
          <w:szCs w:val="20"/>
        </w:rPr>
        <w:t>5.94 and 5.95</w:t>
      </w:r>
    </w:p>
    <w:p w:rsidR="00BE6DA6" w:rsidRDefault="0007542E" w:rsidP="00C82AFC">
      <w:pPr>
        <w:pStyle w:val="Heading1"/>
        <w:spacing w:before="0" w:after="0"/>
        <w:jc w:val="both"/>
        <w:rPr>
          <w:color w:val="auto"/>
          <w:sz w:val="20"/>
          <w:szCs w:val="20"/>
        </w:rPr>
      </w:pPr>
      <w:r w:rsidRPr="00C82AFC">
        <w:rPr>
          <w:i/>
          <w:color w:val="auto"/>
          <w:sz w:val="20"/>
          <w:szCs w:val="20"/>
        </w:rPr>
        <w:t xml:space="preserve">Local Government (Administration) Regulations </w:t>
      </w:r>
      <w:r w:rsidR="000352B0" w:rsidRPr="00C82AFC">
        <w:rPr>
          <w:i/>
          <w:color w:val="auto"/>
          <w:sz w:val="20"/>
          <w:szCs w:val="20"/>
        </w:rPr>
        <w:t>1996</w:t>
      </w:r>
      <w:r w:rsidR="000352B0">
        <w:rPr>
          <w:color w:val="auto"/>
          <w:sz w:val="20"/>
          <w:szCs w:val="20"/>
        </w:rPr>
        <w:t xml:space="preserve"> </w:t>
      </w:r>
      <w:r w:rsidR="00012F44">
        <w:rPr>
          <w:color w:val="auto"/>
          <w:sz w:val="20"/>
          <w:szCs w:val="20"/>
        </w:rPr>
        <w:t xml:space="preserve">s.5.23, </w:t>
      </w:r>
      <w:r w:rsidR="00A92BBF">
        <w:rPr>
          <w:color w:val="auto"/>
          <w:sz w:val="20"/>
          <w:szCs w:val="20"/>
        </w:rPr>
        <w:t>r</w:t>
      </w:r>
      <w:r w:rsidR="00FD4A6B">
        <w:rPr>
          <w:color w:val="auto"/>
          <w:sz w:val="20"/>
          <w:szCs w:val="20"/>
        </w:rPr>
        <w:t xml:space="preserve">14, </w:t>
      </w:r>
      <w:r w:rsidRPr="00B2739B">
        <w:rPr>
          <w:color w:val="auto"/>
          <w:sz w:val="20"/>
          <w:szCs w:val="20"/>
        </w:rPr>
        <w:t>29 and 29</w:t>
      </w:r>
      <w:r w:rsidR="00C06A93">
        <w:rPr>
          <w:color w:val="auto"/>
          <w:sz w:val="20"/>
          <w:szCs w:val="20"/>
        </w:rPr>
        <w:t>A</w:t>
      </w:r>
    </w:p>
    <w:p w:rsidR="00012F44" w:rsidRDefault="00012F44" w:rsidP="00C82AFC">
      <w:pPr>
        <w:jc w:val="both"/>
        <w:rPr>
          <w:i/>
        </w:rPr>
      </w:pPr>
      <w:r w:rsidRPr="00C82AFC">
        <w:rPr>
          <w:i/>
          <w:lang w:val="en-US"/>
        </w:rPr>
        <w:t>Local Government (Rules of Conduct) Regulations 2007</w:t>
      </w:r>
    </w:p>
    <w:p w:rsidR="00012F44" w:rsidRPr="00C82AFC" w:rsidRDefault="00012F44" w:rsidP="00C82AFC">
      <w:pPr>
        <w:jc w:val="both"/>
        <w:rPr>
          <w:i/>
        </w:rPr>
      </w:pPr>
      <w:r>
        <w:rPr>
          <w:i/>
          <w:lang w:val="en-US"/>
        </w:rPr>
        <w:t xml:space="preserve">Freedom of Information Act 1992 </w:t>
      </w:r>
      <w:r w:rsidRPr="00C82AFC">
        <w:rPr>
          <w:lang w:val="en-US"/>
        </w:rPr>
        <w:t>r.6 Schedule 1 Clause 4</w:t>
      </w:r>
    </w:p>
    <w:p w:rsidR="0007542E" w:rsidRPr="00B2739B" w:rsidRDefault="005E1066" w:rsidP="00C82AFC">
      <w:pPr>
        <w:pStyle w:val="Heading1"/>
        <w:spacing w:before="0" w:after="0"/>
        <w:jc w:val="both"/>
        <w:rPr>
          <w:color w:val="auto"/>
          <w:sz w:val="20"/>
          <w:szCs w:val="20"/>
        </w:rPr>
      </w:pPr>
      <w:r>
        <w:rPr>
          <w:color w:val="auto"/>
          <w:sz w:val="20"/>
          <w:szCs w:val="20"/>
        </w:rPr>
        <w:t xml:space="preserve">EMRC </w:t>
      </w:r>
      <w:r w:rsidR="00E8242E">
        <w:rPr>
          <w:color w:val="auto"/>
          <w:sz w:val="20"/>
          <w:szCs w:val="20"/>
        </w:rPr>
        <w:t xml:space="preserve">Standing Order Local Law 2013 </w:t>
      </w:r>
      <w:r w:rsidR="00FA7DEC">
        <w:rPr>
          <w:color w:val="auto"/>
          <w:sz w:val="20"/>
          <w:szCs w:val="20"/>
        </w:rPr>
        <w:t>clauses,</w:t>
      </w:r>
      <w:r w:rsidR="00E8242E">
        <w:rPr>
          <w:color w:val="auto"/>
          <w:sz w:val="20"/>
          <w:szCs w:val="20"/>
        </w:rPr>
        <w:t xml:space="preserve"> 4.20 and 5.13</w:t>
      </w:r>
    </w:p>
    <w:p w:rsidR="00B16F4A" w:rsidRPr="005778A7" w:rsidRDefault="00B16F4A" w:rsidP="00C82AFC">
      <w:pPr>
        <w:pStyle w:val="Heading1"/>
        <w:spacing w:after="240"/>
        <w:jc w:val="both"/>
        <w:rPr>
          <w:b/>
        </w:rPr>
      </w:pPr>
      <w:r w:rsidRPr="005778A7">
        <w:rPr>
          <w:b/>
        </w:rPr>
        <w:t>POLICY STATEMENT</w:t>
      </w:r>
    </w:p>
    <w:p w:rsidR="00B16F4A" w:rsidRDefault="00B16F4A" w:rsidP="00012F44">
      <w:pPr>
        <w:numPr>
          <w:ilvl w:val="0"/>
          <w:numId w:val="15"/>
        </w:numPr>
        <w:jc w:val="both"/>
      </w:pPr>
      <w:r>
        <w:t xml:space="preserve">That items which at the discretion of the </w:t>
      </w:r>
      <w:r w:rsidR="00012F44">
        <w:t>Chief Executive Officer (</w:t>
      </w:r>
      <w:r w:rsidR="00094D83">
        <w:t>CEO</w:t>
      </w:r>
      <w:r w:rsidR="00012F44">
        <w:t>)</w:t>
      </w:r>
      <w:r>
        <w:t xml:space="preserve"> are felt to require confidentiality be distributed separate from but accompanying the Council </w:t>
      </w:r>
      <w:r w:rsidR="007D33C4">
        <w:t xml:space="preserve">and or Committee </w:t>
      </w:r>
      <w:r>
        <w:t>agenda</w:t>
      </w:r>
      <w:r w:rsidR="007D33C4">
        <w:t>s</w:t>
      </w:r>
      <w:r>
        <w:t xml:space="preserve"> on paper of a colour not used elsewhere in the agenda.</w:t>
      </w:r>
    </w:p>
    <w:p w:rsidR="00B16F4A" w:rsidRDefault="00B16F4A" w:rsidP="00012F44">
      <w:pPr>
        <w:numPr>
          <w:ilvl w:val="12"/>
          <w:numId w:val="0"/>
        </w:numPr>
        <w:ind w:left="283" w:hanging="283"/>
        <w:jc w:val="both"/>
      </w:pPr>
    </w:p>
    <w:p w:rsidR="00B16F4A" w:rsidRDefault="00B16F4A" w:rsidP="00012F44">
      <w:pPr>
        <w:numPr>
          <w:ilvl w:val="0"/>
          <w:numId w:val="16"/>
        </w:numPr>
        <w:jc w:val="both"/>
      </w:pPr>
      <w:r>
        <w:t xml:space="preserve">That the agenda indicate that an item is to be treated as confidential while it is being considered by </w:t>
      </w:r>
      <w:r w:rsidR="00F13140">
        <w:t>C</w:t>
      </w:r>
      <w:r>
        <w:t>ouncil/</w:t>
      </w:r>
      <w:r w:rsidR="00F13140">
        <w:t>C</w:t>
      </w:r>
      <w:r>
        <w:t>ommittee.</w:t>
      </w:r>
    </w:p>
    <w:p w:rsidR="00B16F4A" w:rsidRDefault="00B16F4A" w:rsidP="00012F44">
      <w:pPr>
        <w:numPr>
          <w:ilvl w:val="12"/>
          <w:numId w:val="0"/>
        </w:numPr>
        <w:ind w:left="283" w:hanging="283"/>
        <w:jc w:val="both"/>
      </w:pPr>
    </w:p>
    <w:p w:rsidR="00B16F4A" w:rsidRDefault="00B16F4A">
      <w:pPr>
        <w:numPr>
          <w:ilvl w:val="0"/>
          <w:numId w:val="16"/>
        </w:numPr>
        <w:jc w:val="both"/>
        <w:rPr>
          <w:b/>
        </w:rPr>
      </w:pPr>
      <w:r>
        <w:t xml:space="preserve">That </w:t>
      </w:r>
      <w:r w:rsidR="00BA02D0">
        <w:t xml:space="preserve">the </w:t>
      </w:r>
      <w:r>
        <w:t xml:space="preserve">Council </w:t>
      </w:r>
      <w:r w:rsidR="007D33C4">
        <w:t>and</w:t>
      </w:r>
      <w:r w:rsidR="002A0105">
        <w:t>/</w:t>
      </w:r>
      <w:r w:rsidR="007D33C4">
        <w:t xml:space="preserve">or Committee </w:t>
      </w:r>
      <w:r>
        <w:t>decision relating to a confidential item be included in the minutes of the meeting.</w:t>
      </w:r>
    </w:p>
    <w:p w:rsidR="00B16F4A" w:rsidRDefault="00B16F4A">
      <w:pPr>
        <w:numPr>
          <w:ilvl w:val="12"/>
          <w:numId w:val="0"/>
        </w:numPr>
        <w:ind w:left="283" w:hanging="283"/>
        <w:jc w:val="both"/>
      </w:pPr>
    </w:p>
    <w:p w:rsidR="00B16F4A" w:rsidRDefault="00B16F4A" w:rsidP="00817A28">
      <w:pPr>
        <w:numPr>
          <w:ilvl w:val="0"/>
          <w:numId w:val="16"/>
        </w:numPr>
        <w:jc w:val="both"/>
      </w:pPr>
      <w:r>
        <w:t xml:space="preserve">That </w:t>
      </w:r>
      <w:r w:rsidR="00817A28">
        <w:t>c</w:t>
      </w:r>
      <w:r w:rsidR="00817A28" w:rsidRPr="00817A28">
        <w:t>onfidential documents and attachments are to be emailed to all councillor and deputy members upon delivery of all relevant agendas</w:t>
      </w:r>
      <w:r w:rsidR="002D0B86">
        <w:t>.</w:t>
      </w:r>
    </w:p>
    <w:p w:rsidR="00B16F4A" w:rsidRDefault="00B16F4A">
      <w:pPr>
        <w:jc w:val="both"/>
      </w:pPr>
    </w:p>
    <w:p w:rsidR="00B16F4A" w:rsidRDefault="00817A28" w:rsidP="00817A28">
      <w:pPr>
        <w:numPr>
          <w:ilvl w:val="0"/>
          <w:numId w:val="16"/>
        </w:numPr>
        <w:jc w:val="both"/>
        <w:rPr>
          <w:rFonts w:cs="Arial"/>
        </w:rPr>
      </w:pPr>
      <w:r>
        <w:t>That t</w:t>
      </w:r>
      <w:r w:rsidRPr="00817A28">
        <w:t>here is no requirement of councillors or deputy members to return confidential attachments to the CEO</w:t>
      </w:r>
      <w:r w:rsidR="001B3FBB">
        <w:t>.</w:t>
      </w:r>
    </w:p>
    <w:p w:rsidR="001C3D44" w:rsidRDefault="001C3D44">
      <w:pPr>
        <w:jc w:val="both"/>
        <w:sectPr w:rsidR="001C3D44" w:rsidSect="001A2BF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644" w:right="851" w:bottom="851" w:left="1701" w:header="737" w:footer="113" w:gutter="0"/>
          <w:cols w:space="720"/>
          <w:titlePg/>
        </w:sectPr>
      </w:pPr>
    </w:p>
    <w:p w:rsidR="00B16F4A" w:rsidRDefault="00B16F4A">
      <w:pPr>
        <w:jc w:val="both"/>
      </w:pPr>
    </w:p>
    <w:p w:rsidR="001C3D44" w:rsidRDefault="001C3D44">
      <w:pPr>
        <w:jc w:val="both"/>
      </w:pPr>
    </w:p>
    <w:p w:rsidR="00CC5061" w:rsidRPr="001C3D44" w:rsidRDefault="00B16F4A" w:rsidP="00C82AFC">
      <w:pPr>
        <w:numPr>
          <w:ilvl w:val="0"/>
          <w:numId w:val="16"/>
        </w:numPr>
        <w:jc w:val="both"/>
        <w:rPr>
          <w:rFonts w:cs="Arial"/>
        </w:rPr>
      </w:pPr>
      <w:r>
        <w:t>That the power of the CEO, under section 5.25</w:t>
      </w:r>
      <w:r w:rsidR="004D296F">
        <w:t>(1</w:t>
      </w:r>
      <w:proofErr w:type="gramStart"/>
      <w:r w:rsidR="004D296F">
        <w:t>)</w:t>
      </w:r>
      <w:r>
        <w:t>(</w:t>
      </w:r>
      <w:proofErr w:type="gramEnd"/>
      <w:r>
        <w:t xml:space="preserve">j) of the </w:t>
      </w:r>
      <w:r w:rsidR="00012F44" w:rsidRPr="00C82AFC">
        <w:rPr>
          <w:i/>
        </w:rPr>
        <w:t>Local Government Act 1995</w:t>
      </w:r>
      <w:r>
        <w:t xml:space="preserve"> be exercised so that the reports and other documents, relating to the confidential item and presentation at the meeting, not be available for inspection by the public.</w:t>
      </w:r>
    </w:p>
    <w:p w:rsidR="00CC5061" w:rsidRDefault="00CC5061" w:rsidP="00FA7DEC">
      <w:pPr>
        <w:pStyle w:val="ListParagraph"/>
        <w:rPr>
          <w:rFonts w:cs="Arial"/>
        </w:rPr>
      </w:pPr>
    </w:p>
    <w:p w:rsidR="00CC5061" w:rsidRDefault="00CC5061" w:rsidP="00FA7DEC">
      <w:pPr>
        <w:jc w:val="both"/>
        <w:rPr>
          <w:rFonts w:cs="Arial"/>
        </w:rPr>
      </w:pPr>
      <w:r>
        <w:rPr>
          <w:rFonts w:cs="Arial"/>
        </w:rPr>
        <w:t>The protocol for dealing with confidential information is:</w:t>
      </w:r>
    </w:p>
    <w:p w:rsidR="00CC5061" w:rsidRDefault="00CC5061" w:rsidP="00FA7DEC">
      <w:pPr>
        <w:jc w:val="both"/>
        <w:rPr>
          <w:rFonts w:cs="Arial"/>
        </w:rPr>
      </w:pPr>
    </w:p>
    <w:p w:rsidR="00CC5061" w:rsidRDefault="00CC5061" w:rsidP="00FA7DEC">
      <w:pPr>
        <w:numPr>
          <w:ilvl w:val="0"/>
          <w:numId w:val="19"/>
        </w:numPr>
        <w:tabs>
          <w:tab w:val="clear" w:pos="720"/>
          <w:tab w:val="left" w:pos="426"/>
        </w:tabs>
        <w:overflowPunct w:val="0"/>
        <w:autoSpaceDE w:val="0"/>
        <w:autoSpaceDN w:val="0"/>
        <w:adjustRightInd w:val="0"/>
        <w:spacing w:after="120"/>
        <w:ind w:left="426" w:hanging="426"/>
        <w:jc w:val="both"/>
        <w:textAlignment w:val="baseline"/>
        <w:rPr>
          <w:rFonts w:cs="Arial"/>
          <w:bCs/>
        </w:rPr>
      </w:pPr>
      <w:r>
        <w:rPr>
          <w:rFonts w:cs="Arial"/>
          <w:bCs/>
        </w:rPr>
        <w:t xml:space="preserve">Confidential information will be categorised by the CEO of the EMRC into information that will be disclosed only to the </w:t>
      </w:r>
      <w:r w:rsidR="00FA7DEC">
        <w:rPr>
          <w:rFonts w:cs="Arial"/>
          <w:bCs/>
        </w:rPr>
        <w:t>Council</w:t>
      </w:r>
      <w:r>
        <w:rPr>
          <w:rFonts w:cs="Arial"/>
          <w:bCs/>
        </w:rPr>
        <w:t xml:space="preserve"> and information which may be disclosed to committees and </w:t>
      </w:r>
      <w:r>
        <w:rPr>
          <w:rFonts w:cs="Arial"/>
        </w:rPr>
        <w:t>member Council CEOs and officers</w:t>
      </w:r>
      <w:r>
        <w:rPr>
          <w:rFonts w:cs="Arial"/>
          <w:bCs/>
        </w:rPr>
        <w:t>.</w:t>
      </w:r>
    </w:p>
    <w:p w:rsidR="00CC5061" w:rsidRDefault="00CC5061" w:rsidP="00FA7DEC">
      <w:pPr>
        <w:numPr>
          <w:ilvl w:val="0"/>
          <w:numId w:val="19"/>
        </w:numPr>
        <w:tabs>
          <w:tab w:val="clear" w:pos="720"/>
          <w:tab w:val="left" w:pos="426"/>
        </w:tabs>
        <w:overflowPunct w:val="0"/>
        <w:autoSpaceDE w:val="0"/>
        <w:autoSpaceDN w:val="0"/>
        <w:adjustRightInd w:val="0"/>
        <w:spacing w:after="120"/>
        <w:ind w:left="426" w:hanging="426"/>
        <w:jc w:val="both"/>
        <w:textAlignment w:val="baseline"/>
        <w:rPr>
          <w:rFonts w:cs="Arial"/>
          <w:bCs/>
        </w:rPr>
      </w:pPr>
      <w:r>
        <w:rPr>
          <w:rFonts w:cs="Arial"/>
          <w:bCs/>
        </w:rPr>
        <w:t>Confidential information which will only be disclosed to the Council will include information which is the subject of legal professional privilege, information relating to employees and information which, if disclosed will or may cause economic harm to the EMRC.</w:t>
      </w:r>
    </w:p>
    <w:p w:rsidR="00CC5061" w:rsidRDefault="00CC5061" w:rsidP="00FA7DEC">
      <w:pPr>
        <w:numPr>
          <w:ilvl w:val="0"/>
          <w:numId w:val="19"/>
        </w:numPr>
        <w:tabs>
          <w:tab w:val="clear" w:pos="720"/>
          <w:tab w:val="left" w:pos="709"/>
        </w:tabs>
        <w:overflowPunct w:val="0"/>
        <w:autoSpaceDE w:val="0"/>
        <w:autoSpaceDN w:val="0"/>
        <w:adjustRightInd w:val="0"/>
        <w:spacing w:after="120"/>
        <w:ind w:left="426" w:hanging="426"/>
        <w:jc w:val="both"/>
        <w:textAlignment w:val="baseline"/>
        <w:rPr>
          <w:rFonts w:cs="Arial"/>
          <w:bCs/>
        </w:rPr>
      </w:pPr>
      <w:r>
        <w:rPr>
          <w:rFonts w:cs="Arial"/>
          <w:bCs/>
        </w:rPr>
        <w:t xml:space="preserve">Where confidential information is to be disclosed only to the Council, it will be considered behind closed doors with the result the recipients of the information will be limited to officers and employees of the EMRC and Council members. This confidential information will not be disclosed to any third party, inclusive of </w:t>
      </w:r>
      <w:r>
        <w:rPr>
          <w:rFonts w:cs="Arial"/>
        </w:rPr>
        <w:t>member Council CEOs and officers</w:t>
      </w:r>
      <w:r>
        <w:rPr>
          <w:rFonts w:cs="Arial"/>
          <w:bCs/>
        </w:rPr>
        <w:t>.</w:t>
      </w:r>
    </w:p>
    <w:p w:rsidR="00CC5061" w:rsidRDefault="00CC5061" w:rsidP="00FA7DEC">
      <w:pPr>
        <w:numPr>
          <w:ilvl w:val="0"/>
          <w:numId w:val="19"/>
        </w:numPr>
        <w:tabs>
          <w:tab w:val="clear" w:pos="720"/>
          <w:tab w:val="left" w:pos="709"/>
        </w:tabs>
        <w:overflowPunct w:val="0"/>
        <w:autoSpaceDE w:val="0"/>
        <w:autoSpaceDN w:val="0"/>
        <w:adjustRightInd w:val="0"/>
        <w:spacing w:after="120"/>
        <w:ind w:left="426" w:hanging="426"/>
        <w:jc w:val="both"/>
        <w:textAlignment w:val="baseline"/>
        <w:rPr>
          <w:rFonts w:cs="Arial"/>
          <w:bCs/>
        </w:rPr>
      </w:pPr>
      <w:r>
        <w:rPr>
          <w:rFonts w:cs="Arial"/>
          <w:bCs/>
        </w:rPr>
        <w:t xml:space="preserve">Confidential information which may be disclosed to committees and </w:t>
      </w:r>
      <w:r>
        <w:rPr>
          <w:rFonts w:cs="Arial"/>
        </w:rPr>
        <w:t>member Council CEOs and officers will be marked as being expressly subject to confidentiality and will also be considered behind closed doors.</w:t>
      </w:r>
    </w:p>
    <w:p w:rsidR="00CC5061" w:rsidRDefault="00CC5061" w:rsidP="00FA7DEC">
      <w:pPr>
        <w:numPr>
          <w:ilvl w:val="0"/>
          <w:numId w:val="19"/>
        </w:numPr>
        <w:tabs>
          <w:tab w:val="clear" w:pos="720"/>
          <w:tab w:val="left" w:pos="709"/>
        </w:tabs>
        <w:overflowPunct w:val="0"/>
        <w:autoSpaceDE w:val="0"/>
        <w:autoSpaceDN w:val="0"/>
        <w:adjustRightInd w:val="0"/>
        <w:spacing w:after="120"/>
        <w:ind w:left="426" w:hanging="426"/>
        <w:jc w:val="both"/>
        <w:textAlignment w:val="baseline"/>
        <w:rPr>
          <w:rFonts w:cs="Arial"/>
          <w:bCs/>
        </w:rPr>
      </w:pPr>
      <w:r>
        <w:rPr>
          <w:rFonts w:cs="Arial"/>
          <w:bCs/>
        </w:rPr>
        <w:t xml:space="preserve">Confidential information which is categorised by the CEO to be not disclosed to committees and </w:t>
      </w:r>
      <w:r>
        <w:rPr>
          <w:rFonts w:cs="Arial"/>
        </w:rPr>
        <w:t>member Council CEO’s and officers</w:t>
      </w:r>
      <w:r>
        <w:rPr>
          <w:rFonts w:cs="Arial"/>
          <w:bCs/>
        </w:rPr>
        <w:t xml:space="preserve"> may be referred to Council for review about whether it should be disclosed to committees and </w:t>
      </w:r>
      <w:r>
        <w:rPr>
          <w:rFonts w:cs="Arial"/>
        </w:rPr>
        <w:t>member Council CEOs and officers</w:t>
      </w:r>
      <w:r>
        <w:rPr>
          <w:rFonts w:cs="Arial"/>
          <w:bCs/>
        </w:rPr>
        <w:t>.</w:t>
      </w:r>
    </w:p>
    <w:p w:rsidR="00CC5061" w:rsidRDefault="00CC5061" w:rsidP="00FA7DEC">
      <w:pPr>
        <w:numPr>
          <w:ilvl w:val="0"/>
          <w:numId w:val="19"/>
        </w:numPr>
        <w:tabs>
          <w:tab w:val="clear" w:pos="720"/>
          <w:tab w:val="left" w:pos="709"/>
        </w:tabs>
        <w:overflowPunct w:val="0"/>
        <w:autoSpaceDE w:val="0"/>
        <w:autoSpaceDN w:val="0"/>
        <w:adjustRightInd w:val="0"/>
        <w:ind w:left="426" w:hanging="426"/>
        <w:jc w:val="both"/>
        <w:textAlignment w:val="baseline"/>
        <w:rPr>
          <w:rFonts w:cs="Arial"/>
          <w:bCs/>
        </w:rPr>
      </w:pPr>
      <w:r>
        <w:rPr>
          <w:rFonts w:cs="Arial"/>
          <w:bCs/>
        </w:rPr>
        <w:t>Application of the protocol will be made in a manner which will facilitate decision making by the EMRC and its Council and committees, prevent confidential information being accidentally disseminated, minimise the conflict of interest member Council CEOs and officers may have consequent upon the duty they owe to a participant and the legal and equitable duty of confidence they owe to the EMRC and avoid the need for litigation by the EMRC.</w:t>
      </w:r>
    </w:p>
    <w:p w:rsidR="00CC5061" w:rsidRPr="00CC5061" w:rsidRDefault="00CC5061" w:rsidP="00FA7DEC">
      <w:pPr>
        <w:jc w:val="both"/>
        <w:rPr>
          <w:rFonts w:cs="Arial"/>
        </w:rPr>
      </w:pPr>
    </w:p>
    <w:p w:rsidR="00B16F4A" w:rsidRPr="005778A7" w:rsidRDefault="00B16F4A" w:rsidP="00C82AFC">
      <w:pPr>
        <w:pStyle w:val="Heading1"/>
        <w:spacing w:after="240"/>
        <w:rPr>
          <w:b/>
        </w:rPr>
      </w:pPr>
      <w:r w:rsidRPr="005778A7">
        <w:rPr>
          <w:b/>
        </w:rPr>
        <w:t>FINANCIAL CONSIDERATIONS</w:t>
      </w:r>
    </w:p>
    <w:p w:rsidR="00B16F4A" w:rsidRDefault="00B16F4A">
      <w:pPr>
        <w:jc w:val="both"/>
      </w:pPr>
      <w:r>
        <w:t>Nil</w:t>
      </w:r>
    </w:p>
    <w:p w:rsidR="00B16F4A" w:rsidRDefault="00B16F4A">
      <w:pPr>
        <w:jc w:val="both"/>
      </w:pPr>
    </w:p>
    <w:p w:rsidR="00B16F4A" w:rsidRDefault="00B16F4A">
      <w:pPr>
        <w:jc w:val="both"/>
      </w:pPr>
    </w:p>
    <w:p w:rsidR="00B16F4A" w:rsidRDefault="00B16F4A">
      <w:pPr>
        <w:pBdr>
          <w:top w:val="single" w:sz="12" w:space="1" w:color="auto"/>
        </w:pBdr>
        <w:jc w:val="both"/>
      </w:pPr>
    </w:p>
    <w:tbl>
      <w:tblPr>
        <w:tblW w:w="0" w:type="auto"/>
        <w:tblLook w:val="01E0" w:firstRow="1" w:lastRow="1" w:firstColumn="1" w:lastColumn="1" w:noHBand="0" w:noVBand="0"/>
      </w:tblPr>
      <w:tblGrid>
        <w:gridCol w:w="4621"/>
        <w:gridCol w:w="4621"/>
      </w:tblGrid>
      <w:tr w:rsidR="00B16F4A">
        <w:trPr>
          <w:trHeight w:val="282"/>
        </w:trPr>
        <w:tc>
          <w:tcPr>
            <w:tcW w:w="4621" w:type="dxa"/>
          </w:tcPr>
          <w:p w:rsidR="00B16F4A" w:rsidRDefault="00B16F4A">
            <w:pPr>
              <w:jc w:val="both"/>
              <w:rPr>
                <w:rFonts w:cs="Arial"/>
              </w:rPr>
            </w:pPr>
            <w:r>
              <w:rPr>
                <w:rFonts w:cs="Arial"/>
              </w:rPr>
              <w:t>Adopted/Reviewed by Council</w:t>
            </w:r>
          </w:p>
          <w:p w:rsidR="00B16F4A" w:rsidRDefault="00B16F4A">
            <w:pPr>
              <w:jc w:val="both"/>
              <w:rPr>
                <w:rFonts w:cs="Arial"/>
              </w:rPr>
            </w:pPr>
          </w:p>
        </w:tc>
        <w:tc>
          <w:tcPr>
            <w:tcW w:w="4621" w:type="dxa"/>
          </w:tcPr>
          <w:p w:rsidR="00B16F4A" w:rsidRDefault="00B16F4A">
            <w:pPr>
              <w:numPr>
                <w:ilvl w:val="0"/>
                <w:numId w:val="18"/>
              </w:numPr>
              <w:jc w:val="both"/>
            </w:pPr>
            <w:smartTag w:uri="urn:schemas-microsoft-com:office:smarttags" w:element="country-region">
              <w:smartTagPr>
                <w:attr w:name="Month" w:val="9"/>
                <w:attr w:name="Day" w:val="18"/>
                <w:attr w:name="Year" w:val="1997"/>
              </w:smartTagPr>
              <w:r>
                <w:t>18 September 1997</w:t>
              </w:r>
            </w:smartTag>
          </w:p>
          <w:p w:rsidR="00B16F4A" w:rsidRDefault="00B16F4A">
            <w:pPr>
              <w:numPr>
                <w:ilvl w:val="0"/>
                <w:numId w:val="18"/>
              </w:numPr>
              <w:jc w:val="both"/>
              <w:rPr>
                <w:rFonts w:cs="Arial"/>
              </w:rPr>
            </w:pPr>
            <w:smartTag w:uri="urn:schemas-microsoft-com:office:smarttags" w:element="country-region">
              <w:smartTagPr>
                <w:attr w:name="Month" w:val="7"/>
                <w:attr w:name="Day" w:val="22"/>
                <w:attr w:name="Year" w:val="1999"/>
              </w:smartTagPr>
              <w:r>
                <w:t>22 July 1999</w:t>
              </w:r>
            </w:smartTag>
          </w:p>
          <w:p w:rsidR="00B16F4A" w:rsidRPr="00BE0F85" w:rsidRDefault="00B16F4A">
            <w:pPr>
              <w:numPr>
                <w:ilvl w:val="0"/>
                <w:numId w:val="18"/>
              </w:numPr>
              <w:jc w:val="both"/>
              <w:rPr>
                <w:rFonts w:cs="Arial"/>
              </w:rPr>
            </w:pPr>
            <w:r>
              <w:t>02 May 2002</w:t>
            </w:r>
          </w:p>
          <w:p w:rsidR="00BE0F85" w:rsidRPr="00E33881" w:rsidRDefault="00B527EC">
            <w:pPr>
              <w:numPr>
                <w:ilvl w:val="0"/>
                <w:numId w:val="18"/>
              </w:numPr>
              <w:jc w:val="both"/>
              <w:rPr>
                <w:rFonts w:cs="Arial"/>
              </w:rPr>
            </w:pPr>
            <w:r>
              <w:t>20</w:t>
            </w:r>
            <w:r w:rsidR="00BE0F85">
              <w:t xml:space="preserve"> May 2004</w:t>
            </w:r>
          </w:p>
          <w:p w:rsidR="00E33881" w:rsidRPr="000E787C" w:rsidRDefault="00E33881">
            <w:pPr>
              <w:numPr>
                <w:ilvl w:val="0"/>
                <w:numId w:val="18"/>
              </w:numPr>
              <w:jc w:val="both"/>
              <w:rPr>
                <w:rFonts w:cs="Arial"/>
              </w:rPr>
            </w:pPr>
            <w:r>
              <w:t>23 February 2006</w:t>
            </w:r>
          </w:p>
          <w:p w:rsidR="000E787C" w:rsidRPr="00CC703B" w:rsidRDefault="000E787C">
            <w:pPr>
              <w:numPr>
                <w:ilvl w:val="0"/>
                <w:numId w:val="18"/>
              </w:numPr>
              <w:jc w:val="both"/>
              <w:rPr>
                <w:rFonts w:cs="Arial"/>
              </w:rPr>
            </w:pPr>
            <w:r>
              <w:t>18 September 2008</w:t>
            </w:r>
          </w:p>
          <w:p w:rsidR="00CC703B" w:rsidRPr="004F341D" w:rsidRDefault="00CC703B">
            <w:pPr>
              <w:numPr>
                <w:ilvl w:val="0"/>
                <w:numId w:val="18"/>
              </w:numPr>
              <w:jc w:val="both"/>
              <w:rPr>
                <w:rFonts w:cs="Arial"/>
              </w:rPr>
            </w:pPr>
            <w:r>
              <w:t>23 September 2010</w:t>
            </w:r>
          </w:p>
          <w:p w:rsidR="004F341D" w:rsidRPr="00C82AFC" w:rsidRDefault="004F341D">
            <w:pPr>
              <w:numPr>
                <w:ilvl w:val="0"/>
                <w:numId w:val="18"/>
              </w:numPr>
              <w:jc w:val="both"/>
              <w:rPr>
                <w:rFonts w:cs="Arial"/>
              </w:rPr>
            </w:pPr>
            <w:r>
              <w:t>18 September 2014</w:t>
            </w:r>
          </w:p>
          <w:p w:rsidR="00012F44" w:rsidRPr="00FD0073" w:rsidRDefault="00C150B6">
            <w:pPr>
              <w:numPr>
                <w:ilvl w:val="0"/>
                <w:numId w:val="18"/>
              </w:numPr>
              <w:jc w:val="both"/>
              <w:rPr>
                <w:rFonts w:cs="Arial"/>
              </w:rPr>
            </w:pPr>
            <w:r>
              <w:t>0</w:t>
            </w:r>
            <w:r w:rsidR="00C75F1D">
              <w:t>6 December</w:t>
            </w:r>
            <w:r w:rsidR="00012F44">
              <w:t xml:space="preserve"> 2018</w:t>
            </w:r>
          </w:p>
          <w:p w:rsidR="00FD0073" w:rsidRPr="00827F5C" w:rsidRDefault="00FD0073">
            <w:pPr>
              <w:numPr>
                <w:ilvl w:val="0"/>
                <w:numId w:val="18"/>
              </w:numPr>
              <w:jc w:val="both"/>
              <w:rPr>
                <w:rFonts w:cs="Arial"/>
              </w:rPr>
            </w:pPr>
            <w:bookmarkStart w:id="0" w:name="_GoBack"/>
            <w:bookmarkEnd w:id="0"/>
            <w:r>
              <w:t>21 March 2019</w:t>
            </w:r>
          </w:p>
          <w:p w:rsidR="00827F5C" w:rsidRDefault="00827F5C" w:rsidP="00827F5C">
            <w:pPr>
              <w:jc w:val="both"/>
              <w:rPr>
                <w:rFonts w:cs="Arial"/>
              </w:rPr>
            </w:pPr>
          </w:p>
        </w:tc>
      </w:tr>
      <w:tr w:rsidR="00B16F4A">
        <w:trPr>
          <w:trHeight w:val="280"/>
        </w:trPr>
        <w:tc>
          <w:tcPr>
            <w:tcW w:w="4621" w:type="dxa"/>
          </w:tcPr>
          <w:p w:rsidR="00B16F4A" w:rsidRDefault="00B16F4A">
            <w:pPr>
              <w:jc w:val="both"/>
              <w:rPr>
                <w:rFonts w:cs="Arial"/>
              </w:rPr>
            </w:pPr>
            <w:r>
              <w:rPr>
                <w:rFonts w:cs="Arial"/>
              </w:rPr>
              <w:t>Next Review</w:t>
            </w:r>
          </w:p>
          <w:p w:rsidR="00B16F4A" w:rsidRDefault="00B16F4A">
            <w:pPr>
              <w:jc w:val="both"/>
              <w:rPr>
                <w:rFonts w:cs="Arial"/>
              </w:rPr>
            </w:pPr>
          </w:p>
        </w:tc>
        <w:tc>
          <w:tcPr>
            <w:tcW w:w="4621" w:type="dxa"/>
          </w:tcPr>
          <w:p w:rsidR="00B16F4A" w:rsidRDefault="00E33881" w:rsidP="00012F44">
            <w:pPr>
              <w:jc w:val="both"/>
              <w:rPr>
                <w:rFonts w:cs="Arial"/>
              </w:rPr>
            </w:pPr>
            <w:r w:rsidRPr="00E33881">
              <w:rPr>
                <w:rFonts w:cs="Arial"/>
              </w:rPr>
              <w:t xml:space="preserve">Following the Ordinary Elections in </w:t>
            </w:r>
            <w:r w:rsidR="00012F44" w:rsidRPr="00E33881">
              <w:rPr>
                <w:rFonts w:cs="Arial"/>
              </w:rPr>
              <w:t>20</w:t>
            </w:r>
            <w:r w:rsidR="00012F44">
              <w:rPr>
                <w:rFonts w:cs="Arial"/>
              </w:rPr>
              <w:t>21</w:t>
            </w:r>
          </w:p>
        </w:tc>
      </w:tr>
      <w:tr w:rsidR="00B16F4A">
        <w:trPr>
          <w:trHeight w:val="280"/>
        </w:trPr>
        <w:tc>
          <w:tcPr>
            <w:tcW w:w="4621" w:type="dxa"/>
          </w:tcPr>
          <w:p w:rsidR="00B16F4A" w:rsidRDefault="00B16F4A">
            <w:pPr>
              <w:jc w:val="both"/>
              <w:rPr>
                <w:rFonts w:cs="Arial"/>
              </w:rPr>
            </w:pPr>
            <w:r>
              <w:rPr>
                <w:rFonts w:cs="Arial"/>
              </w:rPr>
              <w:t xml:space="preserve">Responsible </w:t>
            </w:r>
            <w:r w:rsidR="00C75F1D">
              <w:rPr>
                <w:rFonts w:cs="Arial"/>
              </w:rPr>
              <w:t>Directorate</w:t>
            </w:r>
          </w:p>
          <w:p w:rsidR="00B16F4A" w:rsidRDefault="00B16F4A">
            <w:pPr>
              <w:jc w:val="both"/>
              <w:rPr>
                <w:rFonts w:cs="Arial"/>
              </w:rPr>
            </w:pPr>
          </w:p>
        </w:tc>
        <w:tc>
          <w:tcPr>
            <w:tcW w:w="4621" w:type="dxa"/>
          </w:tcPr>
          <w:p w:rsidR="00B16F4A" w:rsidRDefault="00B16F4A">
            <w:pPr>
              <w:jc w:val="both"/>
              <w:rPr>
                <w:rFonts w:cs="Arial"/>
              </w:rPr>
            </w:pPr>
            <w:r>
              <w:rPr>
                <w:rFonts w:cs="Arial"/>
              </w:rPr>
              <w:t>Corporate Services</w:t>
            </w:r>
          </w:p>
        </w:tc>
      </w:tr>
    </w:tbl>
    <w:p w:rsidR="00B16F4A" w:rsidRDefault="00B16F4A">
      <w:pPr>
        <w:rPr>
          <w:lang w:val="en-US"/>
        </w:rPr>
      </w:pPr>
    </w:p>
    <w:sectPr w:rsidR="00B16F4A" w:rsidSect="001C3D44">
      <w:pgSz w:w="11906" w:h="16838" w:code="9"/>
      <w:pgMar w:top="1644" w:right="851" w:bottom="851" w:left="1701" w:header="737"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43" w:rsidRDefault="00463743">
      <w:r>
        <w:separator/>
      </w:r>
    </w:p>
  </w:endnote>
  <w:endnote w:type="continuationSeparator" w:id="0">
    <w:p w:rsidR="00463743" w:rsidRDefault="0046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43" w:rsidRDefault="00463743">
    <w:pPr>
      <w:pStyle w:val="Footer"/>
      <w:rPr>
        <w:lang w:val="en-US"/>
      </w:rPr>
    </w:pPr>
    <w:r>
      <w:rPr>
        <w:lang w:val="en-US"/>
      </w:rPr>
      <w:t xml:space="preserve">TEL </w:t>
    </w:r>
    <w:r>
      <w:rPr>
        <w:sz w:val="19"/>
        <w:lang w:val="en-US"/>
      </w:rPr>
      <w:t xml:space="preserve">(08) 9424 </w:t>
    </w:r>
    <w:proofErr w:type="gramStart"/>
    <w:r>
      <w:rPr>
        <w:sz w:val="19"/>
        <w:lang w:val="en-US"/>
      </w:rPr>
      <w:t>2222</w:t>
    </w:r>
    <w:r>
      <w:rPr>
        <w:lang w:val="en-US"/>
      </w:rPr>
      <w:t xml:space="preserve">  FAX</w:t>
    </w:r>
    <w:proofErr w:type="gramEnd"/>
    <w:r>
      <w:rPr>
        <w:lang w:val="en-US"/>
      </w:rPr>
      <w:t xml:space="preserve"> </w:t>
    </w:r>
    <w:r>
      <w:rPr>
        <w:sz w:val="19"/>
        <w:lang w:val="en-US"/>
      </w:rPr>
      <w:t>(08) 9277 7598</w:t>
    </w:r>
    <w:r>
      <w:rPr>
        <w:lang w:val="en-US"/>
      </w:rPr>
      <w:t xml:space="preserve">  EMAIL </w:t>
    </w:r>
    <w:r>
      <w:rPr>
        <w:sz w:val="19"/>
      </w:rPr>
      <w:t>info@emrc.org.au</w:t>
    </w:r>
    <w:r>
      <w:rPr>
        <w:lang w:val="en-US"/>
      </w:rPr>
      <w:t xml:space="preserve">  WEB </w:t>
    </w:r>
    <w:r>
      <w:rPr>
        <w:sz w:val="19"/>
        <w:lang w:val="en-US"/>
      </w:rPr>
      <w:t>www.emrc.org.au</w:t>
    </w:r>
  </w:p>
  <w:p w:rsidR="00463743" w:rsidRDefault="00463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43" w:rsidRDefault="00463743">
    <w:pPr>
      <w:pStyle w:val="Footer"/>
      <w:jc w:val="center"/>
      <w:rPr>
        <w:sz w:val="16"/>
        <w:lang w:val="en-US"/>
      </w:rPr>
    </w:pPr>
    <w:r>
      <w:rPr>
        <w:b/>
        <w:bCs/>
        <w:sz w:val="16"/>
        <w:lang w:val="en-US"/>
      </w:rPr>
      <w:t>TEL</w:t>
    </w:r>
    <w:r>
      <w:rPr>
        <w:sz w:val="16"/>
        <w:lang w:val="en-US"/>
      </w:rPr>
      <w:t xml:space="preserve"> (08) 9424 </w:t>
    </w:r>
    <w:proofErr w:type="gramStart"/>
    <w:r>
      <w:rPr>
        <w:sz w:val="16"/>
        <w:lang w:val="en-US"/>
      </w:rPr>
      <w:t xml:space="preserve">2222  </w:t>
    </w:r>
    <w:r>
      <w:rPr>
        <w:b/>
        <w:bCs/>
        <w:sz w:val="16"/>
        <w:lang w:val="en-US"/>
      </w:rPr>
      <w:t>FAX</w:t>
    </w:r>
    <w:proofErr w:type="gramEnd"/>
    <w:r>
      <w:rPr>
        <w:sz w:val="16"/>
        <w:lang w:val="en-US"/>
      </w:rPr>
      <w:t xml:space="preserve"> (08) 9277 7598  </w:t>
    </w:r>
    <w:r>
      <w:rPr>
        <w:b/>
        <w:bCs/>
        <w:sz w:val="16"/>
        <w:lang w:val="en-US"/>
      </w:rPr>
      <w:t>EMAIL</w:t>
    </w:r>
    <w:r>
      <w:rPr>
        <w:sz w:val="16"/>
        <w:lang w:val="en-US"/>
      </w:rPr>
      <w:t xml:space="preserve"> </w:t>
    </w:r>
    <w:hyperlink r:id="rId1" w:history="1">
      <w:r w:rsidRPr="00B820F6">
        <w:rPr>
          <w:rStyle w:val="Hyperlink"/>
          <w:sz w:val="16"/>
        </w:rPr>
        <w:t>mail@emrc.org.au</w:t>
      </w:r>
    </w:hyperlink>
    <w:r>
      <w:rPr>
        <w:sz w:val="16"/>
        <w:lang w:val="en-US"/>
      </w:rPr>
      <w:t xml:space="preserve"> </w:t>
    </w:r>
    <w:r>
      <w:rPr>
        <w:b/>
        <w:bCs/>
        <w:sz w:val="16"/>
        <w:lang w:val="en-US"/>
      </w:rPr>
      <w:t>WEB</w:t>
    </w:r>
    <w:r>
      <w:rPr>
        <w:sz w:val="16"/>
        <w:lang w:val="en-US"/>
      </w:rPr>
      <w:t xml:space="preserve"> </w:t>
    </w:r>
    <w:hyperlink r:id="rId2" w:history="1">
      <w:r>
        <w:rPr>
          <w:rStyle w:val="Hyperlink"/>
          <w:sz w:val="16"/>
          <w:lang w:val="en-US"/>
        </w:rPr>
        <w:t>www.emrc.org.au</w:t>
      </w:r>
    </w:hyperlink>
  </w:p>
  <w:p w:rsidR="00463743" w:rsidRDefault="00A22AB7">
    <w:pPr>
      <w:pStyle w:val="Footer"/>
      <w:jc w:val="center"/>
      <w:rPr>
        <w:sz w:val="16"/>
        <w:lang w:val="en-US"/>
      </w:rPr>
    </w:pPr>
    <w:r>
      <w:rPr>
        <w:bCs/>
        <w:sz w:val="16"/>
        <w:lang w:val="en-US"/>
      </w:rPr>
      <w:fldChar w:fldCharType="begin"/>
    </w:r>
    <w:r w:rsidR="00463743">
      <w:rPr>
        <w:bCs/>
        <w:sz w:val="16"/>
        <w:lang w:val="en-US"/>
      </w:rPr>
      <w:instrText xml:space="preserve"> FILENAME </w:instrText>
    </w:r>
    <w:r>
      <w:rPr>
        <w:bCs/>
        <w:sz w:val="16"/>
        <w:lang w:val="en-US"/>
      </w:rPr>
      <w:fldChar w:fldCharType="separate"/>
    </w:r>
    <w:r w:rsidR="00552525">
      <w:rPr>
        <w:bCs/>
        <w:noProof/>
        <w:sz w:val="16"/>
        <w:lang w:val="en-US"/>
      </w:rPr>
      <w:t>Review - Policy - 1.5 Meeting Agenda   Minutes - Confidential Items Policy - 28 05 2018.DOCX</w:t>
    </w:r>
    <w:r>
      <w:rPr>
        <w:bCs/>
        <w:sz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43" w:rsidRDefault="00463743">
    <w:pPr>
      <w:pStyle w:val="Footer"/>
      <w:jc w:val="center"/>
      <w:rPr>
        <w:rStyle w:val="Hyperlink"/>
        <w:sz w:val="16"/>
        <w:lang w:val="en-US"/>
      </w:rPr>
    </w:pPr>
    <w:r>
      <w:rPr>
        <w:b/>
        <w:bCs/>
        <w:sz w:val="16"/>
        <w:lang w:val="en-US"/>
      </w:rPr>
      <w:t>TEL</w:t>
    </w:r>
    <w:r>
      <w:rPr>
        <w:sz w:val="16"/>
        <w:lang w:val="en-US"/>
      </w:rPr>
      <w:t xml:space="preserve"> (08) 9424 </w:t>
    </w:r>
    <w:proofErr w:type="gramStart"/>
    <w:r>
      <w:rPr>
        <w:sz w:val="16"/>
        <w:lang w:val="en-US"/>
      </w:rPr>
      <w:t xml:space="preserve">2222  </w:t>
    </w:r>
    <w:r>
      <w:rPr>
        <w:b/>
        <w:bCs/>
        <w:sz w:val="16"/>
        <w:lang w:val="en-US"/>
      </w:rPr>
      <w:t>FAX</w:t>
    </w:r>
    <w:proofErr w:type="gramEnd"/>
    <w:r>
      <w:rPr>
        <w:sz w:val="16"/>
        <w:lang w:val="en-US"/>
      </w:rPr>
      <w:t xml:space="preserve"> (08) 9277 7598  </w:t>
    </w:r>
    <w:r>
      <w:rPr>
        <w:b/>
        <w:bCs/>
        <w:sz w:val="16"/>
        <w:lang w:val="en-US"/>
      </w:rPr>
      <w:t>EMAIL</w:t>
    </w:r>
    <w:r>
      <w:rPr>
        <w:sz w:val="16"/>
        <w:lang w:val="en-US"/>
      </w:rPr>
      <w:t xml:space="preserve"> </w:t>
    </w:r>
    <w:hyperlink r:id="rId1" w:history="1">
      <w:r w:rsidRPr="00B820F6">
        <w:rPr>
          <w:rStyle w:val="Hyperlink"/>
          <w:sz w:val="16"/>
        </w:rPr>
        <w:t>mail@emrc.org.au</w:t>
      </w:r>
    </w:hyperlink>
    <w:r>
      <w:rPr>
        <w:sz w:val="16"/>
      </w:rPr>
      <w:t xml:space="preserve"> </w:t>
    </w:r>
    <w:r>
      <w:rPr>
        <w:b/>
        <w:bCs/>
        <w:sz w:val="16"/>
        <w:lang w:val="en-US"/>
      </w:rPr>
      <w:t>WEB</w:t>
    </w:r>
    <w:r>
      <w:rPr>
        <w:sz w:val="16"/>
        <w:lang w:val="en-US"/>
      </w:rPr>
      <w:t xml:space="preserve"> </w:t>
    </w:r>
    <w:hyperlink r:id="rId2" w:history="1">
      <w:r>
        <w:rPr>
          <w:rStyle w:val="Hyperlink"/>
          <w:sz w:val="16"/>
          <w:lang w:val="en-US"/>
        </w:rPr>
        <w:t>www.emrc.org.au</w:t>
      </w:r>
    </w:hyperlink>
  </w:p>
  <w:p w:rsidR="00C150B6" w:rsidRDefault="00C150B6" w:rsidP="00C150B6">
    <w:pPr>
      <w:pStyle w:val="Footer"/>
      <w:jc w:val="center"/>
    </w:pPr>
    <w:r>
      <w:rPr>
        <w:bCs/>
        <w:sz w:val="16"/>
        <w:lang w:val="en-US"/>
      </w:rPr>
      <w:fldChar w:fldCharType="begin"/>
    </w:r>
    <w:r>
      <w:rPr>
        <w:bCs/>
        <w:sz w:val="16"/>
        <w:lang w:val="en-US"/>
      </w:rPr>
      <w:instrText xml:space="preserve"> FILENAME </w:instrText>
    </w:r>
    <w:r>
      <w:rPr>
        <w:bCs/>
        <w:sz w:val="16"/>
        <w:lang w:val="en-US"/>
      </w:rPr>
      <w:fldChar w:fldCharType="separate"/>
    </w:r>
    <w:r>
      <w:rPr>
        <w:bCs/>
        <w:noProof/>
        <w:sz w:val="16"/>
        <w:lang w:val="en-US"/>
      </w:rPr>
      <w:t xml:space="preserve">Policy - 1.5 Meeting Agenda/Minutes - Confidential Items Policy - </w:t>
    </w:r>
    <w:r w:rsidR="00F15D30">
      <w:rPr>
        <w:bCs/>
        <w:noProof/>
        <w:sz w:val="16"/>
        <w:lang w:val="en-US"/>
      </w:rPr>
      <w:t>21.03.2019</w:t>
    </w:r>
    <w:r>
      <w:rPr>
        <w:bCs/>
        <w:noProof/>
        <w:sz w:val="16"/>
        <w:lang w:val="en-US"/>
      </w:rPr>
      <w:t>.DOCX</w:t>
    </w:r>
    <w:r>
      <w:rPr>
        <w:bCs/>
        <w:sz w:val="16"/>
        <w:lang w:val="en-US"/>
      </w:rPr>
      <w:fldChar w:fldCharType="end"/>
    </w:r>
  </w:p>
  <w:p w:rsidR="00C150B6" w:rsidRDefault="00C150B6">
    <w:pPr>
      <w:pStyle w:val="Footer"/>
      <w:jc w:val="center"/>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43" w:rsidRDefault="00463743">
      <w:r>
        <w:separator/>
      </w:r>
    </w:p>
  </w:footnote>
  <w:footnote w:type="continuationSeparator" w:id="0">
    <w:p w:rsidR="00463743" w:rsidRDefault="00463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43" w:rsidRDefault="00F72294">
    <w:pPr>
      <w:pStyle w:val="Header"/>
    </w:pPr>
    <w:r>
      <w:rPr>
        <w:noProof/>
        <w:lang w:eastAsia="en-AU"/>
      </w:rPr>
      <w:drawing>
        <wp:anchor distT="0" distB="0" distL="114300" distR="114300" simplePos="0" relativeHeight="251656704" behindDoc="1" locked="0" layoutInCell="1" allowOverlap="1" wp14:anchorId="26812132" wp14:editId="42E34D49">
          <wp:simplePos x="0" y="0"/>
          <wp:positionH relativeFrom="margin">
            <wp:posOffset>169545</wp:posOffset>
          </wp:positionH>
          <wp:positionV relativeFrom="margin">
            <wp:posOffset>937260</wp:posOffset>
          </wp:positionV>
          <wp:extent cx="5419725" cy="1009650"/>
          <wp:effectExtent l="19050" t="0" r="9525" b="0"/>
          <wp:wrapNone/>
          <wp:docPr id="3" name="Picture 3" descr="EMRC Corp serv 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RC Corp serv ban"/>
                  <pic:cNvPicPr>
                    <a:picLocks noChangeAspect="1" noChangeArrowheads="1"/>
                  </pic:cNvPicPr>
                </pic:nvPicPr>
                <pic:blipFill>
                  <a:blip r:embed="rId1"/>
                  <a:srcRect/>
                  <a:stretch>
                    <a:fillRect/>
                  </a:stretch>
                </pic:blipFill>
                <pic:spPr bwMode="auto">
                  <a:xfrm>
                    <a:off x="0" y="0"/>
                    <a:ext cx="5419725" cy="10096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43" w:rsidRDefault="00F72294">
    <w:pPr>
      <w:pStyle w:val="Header"/>
    </w:pPr>
    <w:r>
      <w:rPr>
        <w:noProof/>
        <w:lang w:eastAsia="en-AU"/>
      </w:rPr>
      <w:drawing>
        <wp:anchor distT="0" distB="0" distL="114300" distR="114300" simplePos="0" relativeHeight="251658752" behindDoc="1" locked="0" layoutInCell="1" allowOverlap="1" wp14:anchorId="2518C65C" wp14:editId="427E6CEC">
          <wp:simplePos x="0" y="0"/>
          <wp:positionH relativeFrom="page">
            <wp:posOffset>965835</wp:posOffset>
          </wp:positionH>
          <wp:positionV relativeFrom="page">
            <wp:posOffset>574040</wp:posOffset>
          </wp:positionV>
          <wp:extent cx="1440180" cy="640715"/>
          <wp:effectExtent l="19050" t="0" r="7620" b="0"/>
          <wp:wrapTopAndBottom/>
          <wp:docPr id="15" name="Picture 15"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RC Final highres logo"/>
                  <pic:cNvPicPr>
                    <a:picLocks noChangeAspect="1" noChangeArrowheads="1"/>
                  </pic:cNvPicPr>
                </pic:nvPicPr>
                <pic:blipFill>
                  <a:blip r:embed="rId1"/>
                  <a:srcRect/>
                  <a:stretch>
                    <a:fillRect/>
                  </a:stretch>
                </pic:blipFill>
                <pic:spPr bwMode="auto">
                  <a:xfrm>
                    <a:off x="0" y="0"/>
                    <a:ext cx="1440180" cy="6407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43" w:rsidRDefault="00F72294" w:rsidP="00B2739B">
    <w:pPr>
      <w:jc w:val="right"/>
    </w:pPr>
    <w:r>
      <w:rPr>
        <w:noProof/>
        <w:lang w:eastAsia="en-AU"/>
      </w:rPr>
      <w:drawing>
        <wp:anchor distT="0" distB="0" distL="114300" distR="114300" simplePos="0" relativeHeight="251657728" behindDoc="1" locked="0" layoutInCell="1" allowOverlap="1" wp14:anchorId="072567BD" wp14:editId="41097482">
          <wp:simplePos x="0" y="0"/>
          <wp:positionH relativeFrom="page">
            <wp:posOffset>965835</wp:posOffset>
          </wp:positionH>
          <wp:positionV relativeFrom="page">
            <wp:posOffset>459740</wp:posOffset>
          </wp:positionV>
          <wp:extent cx="1440180" cy="640715"/>
          <wp:effectExtent l="19050" t="0" r="7620" b="0"/>
          <wp:wrapTopAndBottom/>
          <wp:docPr id="14" name="Picture 14"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RC Final highres logo"/>
                  <pic:cNvPicPr>
                    <a:picLocks noChangeAspect="1" noChangeArrowheads="1"/>
                  </pic:cNvPicPr>
                </pic:nvPicPr>
                <pic:blipFill>
                  <a:blip r:embed="rId1"/>
                  <a:srcRect/>
                  <a:stretch>
                    <a:fillRect/>
                  </a:stretch>
                </pic:blipFill>
                <pic:spPr bwMode="auto">
                  <a:xfrm>
                    <a:off x="0" y="0"/>
                    <a:ext cx="1440180" cy="6407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02AD42"/>
    <w:lvl w:ilvl="0">
      <w:start w:val="1"/>
      <w:numFmt w:val="decimal"/>
      <w:lvlText w:val="%1."/>
      <w:lvlJc w:val="left"/>
      <w:pPr>
        <w:tabs>
          <w:tab w:val="num" w:pos="1492"/>
        </w:tabs>
        <w:ind w:left="1492" w:hanging="360"/>
      </w:pPr>
    </w:lvl>
  </w:abstractNum>
  <w:abstractNum w:abstractNumId="1">
    <w:nsid w:val="FFFFFF7D"/>
    <w:multiLevelType w:val="singleLevel"/>
    <w:tmpl w:val="92962D5C"/>
    <w:lvl w:ilvl="0">
      <w:start w:val="1"/>
      <w:numFmt w:val="decimal"/>
      <w:lvlText w:val="%1."/>
      <w:lvlJc w:val="left"/>
      <w:pPr>
        <w:tabs>
          <w:tab w:val="num" w:pos="1209"/>
        </w:tabs>
        <w:ind w:left="1209" w:hanging="360"/>
      </w:pPr>
    </w:lvl>
  </w:abstractNum>
  <w:abstractNum w:abstractNumId="2">
    <w:nsid w:val="FFFFFF7E"/>
    <w:multiLevelType w:val="singleLevel"/>
    <w:tmpl w:val="98045B56"/>
    <w:lvl w:ilvl="0">
      <w:start w:val="1"/>
      <w:numFmt w:val="decimal"/>
      <w:lvlText w:val="%1."/>
      <w:lvlJc w:val="left"/>
      <w:pPr>
        <w:tabs>
          <w:tab w:val="num" w:pos="926"/>
        </w:tabs>
        <w:ind w:left="926" w:hanging="360"/>
      </w:pPr>
    </w:lvl>
  </w:abstractNum>
  <w:abstractNum w:abstractNumId="3">
    <w:nsid w:val="FFFFFF7F"/>
    <w:multiLevelType w:val="singleLevel"/>
    <w:tmpl w:val="F75620B4"/>
    <w:lvl w:ilvl="0">
      <w:start w:val="1"/>
      <w:numFmt w:val="decimal"/>
      <w:lvlText w:val="%1."/>
      <w:lvlJc w:val="left"/>
      <w:pPr>
        <w:tabs>
          <w:tab w:val="num" w:pos="643"/>
        </w:tabs>
        <w:ind w:left="643" w:hanging="360"/>
      </w:pPr>
    </w:lvl>
  </w:abstractNum>
  <w:abstractNum w:abstractNumId="4">
    <w:nsid w:val="FFFFFF80"/>
    <w:multiLevelType w:val="singleLevel"/>
    <w:tmpl w:val="A134C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DC7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609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5E6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B4458A"/>
    <w:lvl w:ilvl="0">
      <w:start w:val="1"/>
      <w:numFmt w:val="decimal"/>
      <w:lvlText w:val="%1."/>
      <w:lvlJc w:val="left"/>
      <w:pPr>
        <w:tabs>
          <w:tab w:val="num" w:pos="360"/>
        </w:tabs>
        <w:ind w:left="360" w:hanging="360"/>
      </w:pPr>
    </w:lvl>
  </w:abstractNum>
  <w:abstractNum w:abstractNumId="9">
    <w:nsid w:val="FFFFFF89"/>
    <w:multiLevelType w:val="singleLevel"/>
    <w:tmpl w:val="2B6E814C"/>
    <w:lvl w:ilvl="0">
      <w:start w:val="1"/>
      <w:numFmt w:val="bullet"/>
      <w:lvlText w:val=""/>
      <w:lvlJc w:val="left"/>
      <w:pPr>
        <w:tabs>
          <w:tab w:val="num" w:pos="360"/>
        </w:tabs>
        <w:ind w:left="360" w:hanging="360"/>
      </w:pPr>
      <w:rPr>
        <w:rFonts w:ascii="Symbol" w:hAnsi="Symbol" w:hint="default"/>
      </w:rPr>
    </w:lvl>
  </w:abstractNum>
  <w:abstractNum w:abstractNumId="10">
    <w:nsid w:val="1A014342"/>
    <w:multiLevelType w:val="multilevel"/>
    <w:tmpl w:val="58DC5158"/>
    <w:lvl w:ilvl="0">
      <w:start w:val="1"/>
      <w:numFmt w:val="decimal"/>
      <w:lvlText w:val="%1.0.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8C7ED7"/>
    <w:multiLevelType w:val="hybridMultilevel"/>
    <w:tmpl w:val="C37ABA54"/>
    <w:lvl w:ilvl="0" w:tplc="0C09000F">
      <w:start w:val="1"/>
      <w:numFmt w:val="decimal"/>
      <w:lvlText w:val="%1."/>
      <w:lvlJc w:val="left"/>
      <w:pPr>
        <w:tabs>
          <w:tab w:val="num" w:pos="360"/>
        </w:tabs>
        <w:ind w:left="360" w:hanging="360"/>
      </w:pPr>
    </w:lvl>
    <w:lvl w:ilvl="1" w:tplc="41DE6BAA">
      <w:start w:val="1"/>
      <w:numFmt w:val="bullet"/>
      <w:lvlText w:val=""/>
      <w:lvlJc w:val="left"/>
      <w:pPr>
        <w:tabs>
          <w:tab w:val="num" w:pos="397"/>
        </w:tabs>
        <w:ind w:left="397" w:hanging="397"/>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1F1A5B1D"/>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3">
    <w:nsid w:val="206C1674"/>
    <w:multiLevelType w:val="hybridMultilevel"/>
    <w:tmpl w:val="B6F0A0B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00438CE"/>
    <w:multiLevelType w:val="singleLevel"/>
    <w:tmpl w:val="B7F01B78"/>
    <w:lvl w:ilvl="0">
      <w:start w:val="1"/>
      <w:numFmt w:val="decimal"/>
      <w:lvlText w:val="%1."/>
      <w:lvlJc w:val="left"/>
      <w:pPr>
        <w:tabs>
          <w:tab w:val="num" w:pos="397"/>
        </w:tabs>
        <w:ind w:left="397" w:hanging="397"/>
      </w:pPr>
      <w:rPr>
        <w:rFonts w:hint="default"/>
        <w:b w:val="0"/>
        <w:i w:val="0"/>
      </w:rPr>
    </w:lvl>
  </w:abstractNum>
  <w:abstractNum w:abstractNumId="15">
    <w:nsid w:val="4C3C6A11"/>
    <w:multiLevelType w:val="hybridMultilevel"/>
    <w:tmpl w:val="D72C7290"/>
    <w:lvl w:ilvl="0" w:tplc="B7F01B78">
      <w:start w:val="1"/>
      <w:numFmt w:val="decimal"/>
      <w:lvlText w:val="%1."/>
      <w:lvlJc w:val="left"/>
      <w:pPr>
        <w:tabs>
          <w:tab w:val="num" w:pos="397"/>
        </w:tabs>
        <w:ind w:left="39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0F6A4D"/>
    <w:multiLevelType w:val="hybridMultilevel"/>
    <w:tmpl w:val="A8B0011A"/>
    <w:lvl w:ilvl="0" w:tplc="3F54052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B254F5"/>
    <w:multiLevelType w:val="multilevel"/>
    <w:tmpl w:val="1D78CF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6"/>
  </w:num>
  <w:num w:numId="15">
    <w:abstractNumId w:val="14"/>
  </w:num>
  <w:num w:numId="16">
    <w:abstractNumId w:val="14"/>
    <w:lvlOverride w:ilvl="0">
      <w:lvl w:ilvl="0">
        <w:start w:val="1"/>
        <w:numFmt w:val="decimal"/>
        <w:lvlText w:val="%1."/>
        <w:lvlJc w:val="left"/>
        <w:pPr>
          <w:tabs>
            <w:tab w:val="num" w:pos="397"/>
          </w:tabs>
          <w:ind w:left="397" w:hanging="397"/>
        </w:pPr>
        <w:rPr>
          <w:rFonts w:hint="default"/>
          <w:b w:val="0"/>
          <w:i w:val="0"/>
        </w:rPr>
      </w:lvl>
    </w:lvlOverride>
  </w:num>
  <w:num w:numId="17">
    <w:abstractNumId w:val="1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B16F4A"/>
    <w:rsid w:val="00012F44"/>
    <w:rsid w:val="000352B0"/>
    <w:rsid w:val="0007542E"/>
    <w:rsid w:val="00094D83"/>
    <w:rsid w:val="00097DD9"/>
    <w:rsid w:val="000A3051"/>
    <w:rsid w:val="000E66BE"/>
    <w:rsid w:val="000E787C"/>
    <w:rsid w:val="0015025B"/>
    <w:rsid w:val="00153FFC"/>
    <w:rsid w:val="0017761F"/>
    <w:rsid w:val="001A2BF7"/>
    <w:rsid w:val="001A7F9D"/>
    <w:rsid w:val="001B3FBB"/>
    <w:rsid w:val="001C3D44"/>
    <w:rsid w:val="00250E85"/>
    <w:rsid w:val="00292601"/>
    <w:rsid w:val="002A0105"/>
    <w:rsid w:val="002D0B86"/>
    <w:rsid w:val="002E53E0"/>
    <w:rsid w:val="002E7226"/>
    <w:rsid w:val="003547B8"/>
    <w:rsid w:val="00385B9C"/>
    <w:rsid w:val="003A01C5"/>
    <w:rsid w:val="00424999"/>
    <w:rsid w:val="00463743"/>
    <w:rsid w:val="004D1B3D"/>
    <w:rsid w:val="004D296F"/>
    <w:rsid w:val="004E6295"/>
    <w:rsid w:val="004F341D"/>
    <w:rsid w:val="00540133"/>
    <w:rsid w:val="00552525"/>
    <w:rsid w:val="005778A7"/>
    <w:rsid w:val="00581390"/>
    <w:rsid w:val="005E1066"/>
    <w:rsid w:val="005E4B90"/>
    <w:rsid w:val="00647FC6"/>
    <w:rsid w:val="00656201"/>
    <w:rsid w:val="006831D1"/>
    <w:rsid w:val="0072647F"/>
    <w:rsid w:val="007D33C4"/>
    <w:rsid w:val="0080657D"/>
    <w:rsid w:val="00817A28"/>
    <w:rsid w:val="00827F5C"/>
    <w:rsid w:val="009633F3"/>
    <w:rsid w:val="00983B3D"/>
    <w:rsid w:val="00996C03"/>
    <w:rsid w:val="009E5324"/>
    <w:rsid w:val="009E574E"/>
    <w:rsid w:val="009E724A"/>
    <w:rsid w:val="00A016CC"/>
    <w:rsid w:val="00A22AB7"/>
    <w:rsid w:val="00A92BBF"/>
    <w:rsid w:val="00B164AE"/>
    <w:rsid w:val="00B16F4A"/>
    <w:rsid w:val="00B2739B"/>
    <w:rsid w:val="00B527EC"/>
    <w:rsid w:val="00B61479"/>
    <w:rsid w:val="00B8499B"/>
    <w:rsid w:val="00BA02D0"/>
    <w:rsid w:val="00BE0F85"/>
    <w:rsid w:val="00BE6DA6"/>
    <w:rsid w:val="00BF1AA2"/>
    <w:rsid w:val="00BF3AD4"/>
    <w:rsid w:val="00C06A93"/>
    <w:rsid w:val="00C150B6"/>
    <w:rsid w:val="00C75F1D"/>
    <w:rsid w:val="00C82AFC"/>
    <w:rsid w:val="00CB1F2F"/>
    <w:rsid w:val="00CC5061"/>
    <w:rsid w:val="00CC703B"/>
    <w:rsid w:val="00CE370A"/>
    <w:rsid w:val="00D464DA"/>
    <w:rsid w:val="00DA22A5"/>
    <w:rsid w:val="00DB311F"/>
    <w:rsid w:val="00E21CF4"/>
    <w:rsid w:val="00E33881"/>
    <w:rsid w:val="00E8242E"/>
    <w:rsid w:val="00E93C6A"/>
    <w:rsid w:val="00EB41B5"/>
    <w:rsid w:val="00ED4EF1"/>
    <w:rsid w:val="00F13140"/>
    <w:rsid w:val="00F15D30"/>
    <w:rsid w:val="00F329DB"/>
    <w:rsid w:val="00F40D6B"/>
    <w:rsid w:val="00F72294"/>
    <w:rsid w:val="00F95862"/>
    <w:rsid w:val="00FA7DEC"/>
    <w:rsid w:val="00FD0073"/>
    <w:rsid w:val="00FD4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AA2"/>
    <w:rPr>
      <w:rFonts w:ascii="Arial" w:hAnsi="Arial"/>
      <w:lang w:eastAsia="en-US"/>
    </w:rPr>
  </w:style>
  <w:style w:type="paragraph" w:styleId="Heading1">
    <w:name w:val="heading 1"/>
    <w:basedOn w:val="Normal"/>
    <w:next w:val="Normal"/>
    <w:qFormat/>
    <w:rsid w:val="00BF1AA2"/>
    <w:pPr>
      <w:keepNext/>
      <w:spacing w:before="600" w:after="340"/>
      <w:outlineLvl w:val="0"/>
    </w:pPr>
    <w:rPr>
      <w:color w:val="AF8F00"/>
      <w:kern w:val="28"/>
      <w:sz w:val="28"/>
      <w:szCs w:val="28"/>
      <w:lang w:val="en-US"/>
    </w:rPr>
  </w:style>
  <w:style w:type="paragraph" w:styleId="Heading2">
    <w:name w:val="heading 2"/>
    <w:basedOn w:val="Normal"/>
    <w:next w:val="Normal"/>
    <w:qFormat/>
    <w:rsid w:val="00BF1AA2"/>
    <w:pPr>
      <w:keepNext/>
      <w:spacing w:before="280" w:after="280"/>
      <w:outlineLvl w:val="1"/>
    </w:pPr>
    <w:rPr>
      <w:sz w:val="28"/>
    </w:rPr>
  </w:style>
  <w:style w:type="paragraph" w:styleId="Heading3">
    <w:name w:val="heading 3"/>
    <w:basedOn w:val="Normal"/>
    <w:next w:val="Normal"/>
    <w:qFormat/>
    <w:rsid w:val="00BF1AA2"/>
    <w:pPr>
      <w:keepNext/>
      <w:numPr>
        <w:ilvl w:val="2"/>
        <w:numId w:val="1"/>
      </w:numPr>
      <w:spacing w:after="120" w:line="360" w:lineRule="auto"/>
      <w:jc w:val="both"/>
      <w:outlineLvl w:val="2"/>
    </w:pPr>
    <w:rPr>
      <w:b/>
      <w:sz w:val="24"/>
      <w:lang w:val="en-US"/>
    </w:rPr>
  </w:style>
  <w:style w:type="paragraph" w:styleId="Heading6">
    <w:name w:val="heading 6"/>
    <w:basedOn w:val="Normal"/>
    <w:next w:val="Normal"/>
    <w:qFormat/>
    <w:rsid w:val="00BF1AA2"/>
    <w:pPr>
      <w:keepNext/>
      <w:jc w:val="both"/>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AA2"/>
    <w:pPr>
      <w:outlineLvl w:val="0"/>
    </w:pPr>
    <w:rPr>
      <w:color w:val="000000"/>
      <w:kern w:val="28"/>
      <w:sz w:val="44"/>
    </w:rPr>
  </w:style>
  <w:style w:type="paragraph" w:styleId="Header">
    <w:name w:val="header"/>
    <w:basedOn w:val="Normal"/>
    <w:rsid w:val="00BF1AA2"/>
    <w:pPr>
      <w:tabs>
        <w:tab w:val="center" w:pos="4153"/>
        <w:tab w:val="right" w:pos="8306"/>
      </w:tabs>
    </w:pPr>
  </w:style>
  <w:style w:type="paragraph" w:styleId="Footer">
    <w:name w:val="footer"/>
    <w:basedOn w:val="Normal"/>
    <w:link w:val="FooterChar"/>
    <w:rsid w:val="00BF1AA2"/>
    <w:pPr>
      <w:tabs>
        <w:tab w:val="center" w:pos="4153"/>
        <w:tab w:val="right" w:pos="8306"/>
      </w:tabs>
      <w:spacing w:after="120"/>
      <w:ind w:left="567"/>
    </w:pPr>
  </w:style>
  <w:style w:type="character" w:styleId="Hyperlink">
    <w:name w:val="Hyperlink"/>
    <w:basedOn w:val="DefaultParagraphFont"/>
    <w:rsid w:val="00BF1AA2"/>
    <w:rPr>
      <w:color w:val="0000FF"/>
      <w:u w:val="single"/>
    </w:rPr>
  </w:style>
  <w:style w:type="paragraph" w:styleId="BodyText">
    <w:name w:val="Body Text"/>
    <w:basedOn w:val="Normal"/>
    <w:rsid w:val="00BF1AA2"/>
    <w:pPr>
      <w:jc w:val="both"/>
    </w:pPr>
    <w:rPr>
      <w:rFonts w:ascii="Times New Roman" w:hAnsi="Times New Roman"/>
      <w:sz w:val="24"/>
    </w:rPr>
  </w:style>
  <w:style w:type="paragraph" w:styleId="FootnoteText">
    <w:name w:val="footnote text"/>
    <w:basedOn w:val="Normal"/>
    <w:semiHidden/>
    <w:rsid w:val="00BF1AA2"/>
    <w:pPr>
      <w:ind w:left="567"/>
    </w:pPr>
    <w:rPr>
      <w:sz w:val="16"/>
    </w:rPr>
  </w:style>
  <w:style w:type="paragraph" w:customStyle="1" w:styleId="Pol2">
    <w:name w:val="Pol 2"/>
    <w:basedOn w:val="Normal"/>
    <w:rsid w:val="00BF1AA2"/>
    <w:pPr>
      <w:jc w:val="both"/>
    </w:pPr>
    <w:rPr>
      <w:rFonts w:ascii="Arial Rounded MT Bold" w:eastAsia="MS Mincho" w:hAnsi="Arial Rounded MT Bold"/>
      <w:sz w:val="24"/>
      <w:szCs w:val="24"/>
      <w:lang w:eastAsia="ja-JP"/>
    </w:rPr>
  </w:style>
  <w:style w:type="paragraph" w:customStyle="1" w:styleId="Bod1">
    <w:name w:val="Bod 1"/>
    <w:basedOn w:val="Normal"/>
    <w:rsid w:val="00BF1AA2"/>
    <w:pPr>
      <w:jc w:val="both"/>
    </w:pPr>
    <w:rPr>
      <w:rFonts w:ascii="Times New Roman" w:eastAsia="MS Mincho" w:hAnsi="Times New Roman"/>
      <w:sz w:val="24"/>
      <w:szCs w:val="24"/>
      <w:lang w:eastAsia="ja-JP"/>
    </w:rPr>
  </w:style>
  <w:style w:type="paragraph" w:styleId="BalloonText">
    <w:name w:val="Balloon Text"/>
    <w:basedOn w:val="Normal"/>
    <w:semiHidden/>
    <w:rsid w:val="0007542E"/>
    <w:rPr>
      <w:rFonts w:ascii="Tahoma" w:hAnsi="Tahoma" w:cs="Tahoma"/>
      <w:sz w:val="16"/>
      <w:szCs w:val="16"/>
    </w:rPr>
  </w:style>
  <w:style w:type="paragraph" w:styleId="ListParagraph">
    <w:name w:val="List Paragraph"/>
    <w:basedOn w:val="Normal"/>
    <w:uiPriority w:val="34"/>
    <w:qFormat/>
    <w:rsid w:val="00CC5061"/>
    <w:pPr>
      <w:ind w:left="720"/>
      <w:contextualSpacing/>
    </w:pPr>
  </w:style>
  <w:style w:type="character" w:customStyle="1" w:styleId="FooterChar">
    <w:name w:val="Footer Char"/>
    <w:basedOn w:val="DefaultParagraphFont"/>
    <w:link w:val="Footer"/>
    <w:rsid w:val="00C150B6"/>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mrc.org.au" TargetMode="External"/><Relationship Id="rId1" Type="http://schemas.openxmlformats.org/officeDocument/2006/relationships/hyperlink" Target="mailto:mail@emrc.org.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mrc.org.au" TargetMode="External"/><Relationship Id="rId1" Type="http://schemas.openxmlformats.org/officeDocument/2006/relationships/hyperlink" Target="mailto:mail@emr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marieM\Local%20Settings\Temporary%20Internet%20Files\OLK14\corporate_services_factsheet_multiple_pages_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corporate_services_factsheet_multiple_pages_p1.dot</Template>
  <TotalTime>101</TotalTime>
  <Pages>2</Pages>
  <Words>613</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dfgdfg</vt:lpstr>
    </vt:vector>
  </TitlesOfParts>
  <Company>At Home</Company>
  <LinksUpToDate>false</LinksUpToDate>
  <CharactersWithSpaces>3808</CharactersWithSpaces>
  <SharedDoc>false</SharedDoc>
  <HLinks>
    <vt:vector size="24" baseType="variant">
      <vt:variant>
        <vt:i4>3866679</vt:i4>
      </vt:variant>
      <vt:variant>
        <vt:i4>12</vt:i4>
      </vt:variant>
      <vt:variant>
        <vt:i4>0</vt:i4>
      </vt:variant>
      <vt:variant>
        <vt:i4>5</vt:i4>
      </vt:variant>
      <vt:variant>
        <vt:lpwstr>http://www.emrc.org.au/</vt:lpwstr>
      </vt:variant>
      <vt:variant>
        <vt:lpwstr/>
      </vt:variant>
      <vt:variant>
        <vt:i4>4259874</vt:i4>
      </vt:variant>
      <vt:variant>
        <vt:i4>9</vt:i4>
      </vt:variant>
      <vt:variant>
        <vt:i4>0</vt:i4>
      </vt:variant>
      <vt:variant>
        <vt:i4>5</vt:i4>
      </vt:variant>
      <vt:variant>
        <vt:lpwstr>mailto:mail@emrc.org.au</vt:lpwstr>
      </vt:variant>
      <vt:variant>
        <vt:lpwstr/>
      </vt:variant>
      <vt:variant>
        <vt:i4>3866679</vt:i4>
      </vt:variant>
      <vt:variant>
        <vt:i4>3</vt:i4>
      </vt:variant>
      <vt:variant>
        <vt:i4>0</vt:i4>
      </vt:variant>
      <vt:variant>
        <vt:i4>5</vt:i4>
      </vt:variant>
      <vt:variant>
        <vt:lpwstr>http://www.emrc.org.au/</vt:lpwstr>
      </vt:variant>
      <vt:variant>
        <vt:lpwstr/>
      </vt:variant>
      <vt:variant>
        <vt:i4>4259874</vt:i4>
      </vt:variant>
      <vt:variant>
        <vt:i4>0</vt:i4>
      </vt:variant>
      <vt:variant>
        <vt:i4>0</vt:i4>
      </vt:variant>
      <vt:variant>
        <vt:i4>5</vt:i4>
      </vt:variant>
      <vt:variant>
        <vt:lpwstr>mailto:mail@emrc.org.au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dfgdfg</dc:title>
  <dc:creator>EMRC</dc:creator>
  <cp:lastModifiedBy>Annie Hughes-d'Aeth</cp:lastModifiedBy>
  <cp:revision>14</cp:revision>
  <cp:lastPrinted>2018-07-10T06:28:00Z</cp:lastPrinted>
  <dcterms:created xsi:type="dcterms:W3CDTF">2018-05-28T06:15:00Z</dcterms:created>
  <dcterms:modified xsi:type="dcterms:W3CDTF">2019-03-29T05:00:00Z</dcterms:modified>
</cp:coreProperties>
</file>