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F42" w:rsidRDefault="006E6F42">
      <w:pPr>
        <w:pStyle w:val="Header"/>
        <w:tabs>
          <w:tab w:val="clear" w:pos="4153"/>
          <w:tab w:val="clear" w:pos="8306"/>
        </w:tabs>
      </w:pPr>
      <w:bookmarkStart w:id="0" w:name="_GoBack"/>
      <w:bookmarkEnd w:id="0"/>
    </w:p>
    <w:p w:rsidR="006E6F42" w:rsidRDefault="006E6F42">
      <w:pPr>
        <w:rPr>
          <w:lang w:val="en-US"/>
        </w:rPr>
      </w:pPr>
    </w:p>
    <w:p w:rsidR="006E6F42" w:rsidRDefault="006E6F42">
      <w:pPr>
        <w:rPr>
          <w:lang w:val="en-US"/>
        </w:rPr>
      </w:pPr>
    </w:p>
    <w:p w:rsidR="006E6F42" w:rsidRPr="00557FD5" w:rsidRDefault="006E6F42">
      <w:pPr>
        <w:rPr>
          <w:b/>
          <w:lang w:val="en-US"/>
        </w:rPr>
      </w:pPr>
    </w:p>
    <w:p w:rsidR="006E6F42" w:rsidRPr="00557FD5" w:rsidRDefault="00722BDB">
      <w:pPr>
        <w:pStyle w:val="Title"/>
        <w:rPr>
          <w:b/>
        </w:rPr>
      </w:pPr>
      <w:r>
        <w:rPr>
          <w:b/>
        </w:rPr>
        <w:t>1.</w:t>
      </w:r>
      <w:r w:rsidR="00117B70">
        <w:rPr>
          <w:b/>
        </w:rPr>
        <w:t>7</w:t>
      </w:r>
      <w:r w:rsidR="006E6F42" w:rsidRPr="00557FD5">
        <w:rPr>
          <w:b/>
        </w:rPr>
        <w:tab/>
      </w:r>
      <w:r w:rsidR="008604FC">
        <w:rPr>
          <w:b/>
        </w:rPr>
        <w:tab/>
      </w:r>
      <w:r w:rsidR="006E6F42" w:rsidRPr="00557FD5">
        <w:rPr>
          <w:b/>
        </w:rPr>
        <w:t xml:space="preserve">Legal Representation Costs </w:t>
      </w:r>
    </w:p>
    <w:p w:rsidR="006E6F42" w:rsidRPr="00557FD5" w:rsidRDefault="008604FC">
      <w:pPr>
        <w:pStyle w:val="Title"/>
        <w:ind w:firstLine="720"/>
        <w:rPr>
          <w:b/>
          <w:lang w:val="en-US"/>
        </w:rPr>
      </w:pPr>
      <w:r>
        <w:rPr>
          <w:b/>
        </w:rPr>
        <w:tab/>
      </w:r>
      <w:r w:rsidR="006E6F42" w:rsidRPr="00557FD5">
        <w:rPr>
          <w:b/>
        </w:rPr>
        <w:t>Indemnification Policy</w:t>
      </w:r>
      <w:r w:rsidR="006E6F42" w:rsidRPr="00557FD5">
        <w:rPr>
          <w:b/>
          <w:lang w:val="en-US"/>
        </w:rPr>
        <w:t xml:space="preserve"> </w:t>
      </w:r>
    </w:p>
    <w:p w:rsidR="006E6F42" w:rsidRPr="00557FD5" w:rsidRDefault="006E6F42" w:rsidP="006F4C26">
      <w:pPr>
        <w:pStyle w:val="Heading1"/>
        <w:spacing w:after="240"/>
        <w:rPr>
          <w:b/>
        </w:rPr>
      </w:pPr>
      <w:r w:rsidRPr="00557FD5">
        <w:rPr>
          <w:b/>
        </w:rPr>
        <w:t xml:space="preserve">STRATEGIC PLAN OBJECTIVE </w:t>
      </w:r>
    </w:p>
    <w:p w:rsidR="00E0316F" w:rsidRPr="00E0316F" w:rsidRDefault="0003243A" w:rsidP="00E0316F">
      <w:pPr>
        <w:rPr>
          <w:lang w:val="en-US"/>
        </w:rPr>
      </w:pPr>
      <w:r>
        <w:t>3</w:t>
      </w:r>
      <w:r w:rsidR="005A1831">
        <w:t>.</w:t>
      </w:r>
      <w:r w:rsidR="00DA55F6">
        <w:t>3</w:t>
      </w:r>
      <w:r w:rsidR="005A1831">
        <w:t xml:space="preserve"> To p</w:t>
      </w:r>
      <w:r w:rsidR="005A1831" w:rsidRPr="00C547DB">
        <w:t>rovide responsible and accountable governance and management of the EMRC</w:t>
      </w:r>
      <w:r w:rsidR="001D75AF">
        <w:t>.</w:t>
      </w:r>
    </w:p>
    <w:p w:rsidR="006E6F42" w:rsidRPr="00557FD5" w:rsidRDefault="006E6F42" w:rsidP="006F4C26">
      <w:pPr>
        <w:pStyle w:val="Heading1"/>
        <w:spacing w:after="240"/>
        <w:rPr>
          <w:b/>
        </w:rPr>
      </w:pPr>
      <w:r w:rsidRPr="00557FD5">
        <w:rPr>
          <w:b/>
        </w:rPr>
        <w:t>PURPOSE</w:t>
      </w:r>
    </w:p>
    <w:p w:rsidR="006E6F42" w:rsidRDefault="006E6F42" w:rsidP="006F4C26">
      <w:pPr>
        <w:jc w:val="both"/>
      </w:pPr>
      <w:proofErr w:type="gramStart"/>
      <w:r>
        <w:t>To protect the interests of Council members and employees (including past members and former employees) where they become involved in civil legal proceedings because of their official functions.</w:t>
      </w:r>
      <w:proofErr w:type="gramEnd"/>
      <w:r>
        <w:t xml:space="preserve"> In most situations the EMRC may assist the individual in meeting reasonable expenses and any liabilities incurred in relation to those proceedings.</w:t>
      </w:r>
    </w:p>
    <w:p w:rsidR="006E6F42" w:rsidRDefault="006E6F42">
      <w:pPr>
        <w:jc w:val="both"/>
      </w:pPr>
    </w:p>
    <w:p w:rsidR="006E6F42" w:rsidRDefault="006E6F42" w:rsidP="006F4C26">
      <w:pPr>
        <w:jc w:val="both"/>
      </w:pPr>
      <w:r>
        <w:t xml:space="preserve">In each case it will be necessary to determine whether assistance with legal costs and other liabilities is justified for the good government of the </w:t>
      </w:r>
      <w:r w:rsidR="0003243A">
        <w:t>R</w:t>
      </w:r>
      <w:r>
        <w:t>egion.</w:t>
      </w:r>
    </w:p>
    <w:p w:rsidR="006E6F42" w:rsidRPr="00557FD5" w:rsidRDefault="006E6F42" w:rsidP="006F4C26">
      <w:pPr>
        <w:pStyle w:val="Heading1"/>
        <w:spacing w:after="240"/>
        <w:jc w:val="both"/>
        <w:rPr>
          <w:b/>
        </w:rPr>
      </w:pPr>
      <w:r w:rsidRPr="00557FD5">
        <w:rPr>
          <w:b/>
        </w:rPr>
        <w:t>LEGISLATION</w:t>
      </w:r>
    </w:p>
    <w:p w:rsidR="006E6F42" w:rsidRDefault="006E6F42">
      <w:r w:rsidRPr="006F4C26">
        <w:rPr>
          <w:i/>
        </w:rPr>
        <w:t>Local Government Act 1995</w:t>
      </w:r>
      <w:r>
        <w:t xml:space="preserve"> </w:t>
      </w:r>
      <w:r w:rsidR="00572E93">
        <w:t>s</w:t>
      </w:r>
      <w:r>
        <w:t>9.56 – 9.57</w:t>
      </w:r>
    </w:p>
    <w:p w:rsidR="004676E4" w:rsidRDefault="004676E4">
      <w:pPr>
        <w:rPr>
          <w:lang w:val="en-US"/>
        </w:rPr>
      </w:pPr>
      <w:r w:rsidRPr="006F4C26">
        <w:rPr>
          <w:i/>
        </w:rPr>
        <w:t>Local Government (Functions a</w:t>
      </w:r>
      <w:r w:rsidR="0052113B" w:rsidRPr="006F4C26">
        <w:rPr>
          <w:i/>
        </w:rPr>
        <w:t>nd General) Regulations 1996</w:t>
      </w:r>
      <w:r w:rsidR="0052113B">
        <w:t xml:space="preserve"> r</w:t>
      </w:r>
      <w:r>
        <w:t>35</w:t>
      </w:r>
    </w:p>
    <w:p w:rsidR="006E6F42" w:rsidRPr="00557FD5" w:rsidRDefault="006E6F42" w:rsidP="006F4C26">
      <w:pPr>
        <w:pStyle w:val="Heading1"/>
        <w:spacing w:after="240"/>
        <w:rPr>
          <w:b/>
        </w:rPr>
      </w:pPr>
      <w:r w:rsidRPr="00557FD5">
        <w:rPr>
          <w:b/>
        </w:rPr>
        <w:t>POLICY STATEMENT</w:t>
      </w:r>
    </w:p>
    <w:p w:rsidR="006E6F42" w:rsidRDefault="006E6F42">
      <w:pPr>
        <w:numPr>
          <w:ilvl w:val="0"/>
          <w:numId w:val="18"/>
        </w:numPr>
        <w:jc w:val="both"/>
        <w:rPr>
          <w:b/>
        </w:rPr>
      </w:pPr>
      <w:r>
        <w:rPr>
          <w:b/>
        </w:rPr>
        <w:t>General Principles</w:t>
      </w:r>
    </w:p>
    <w:p w:rsidR="006E6F42" w:rsidRDefault="006E6F42">
      <w:pPr>
        <w:jc w:val="both"/>
        <w:rPr>
          <w:b/>
        </w:rPr>
      </w:pPr>
    </w:p>
    <w:p w:rsidR="006E6F42" w:rsidRDefault="006E6F42" w:rsidP="006F4C26">
      <w:pPr>
        <w:numPr>
          <w:ilvl w:val="0"/>
          <w:numId w:val="15"/>
        </w:numPr>
        <w:tabs>
          <w:tab w:val="clear" w:pos="1440"/>
          <w:tab w:val="left" w:pos="851"/>
        </w:tabs>
        <w:ind w:left="868" w:hanging="462"/>
        <w:jc w:val="both"/>
      </w:pPr>
      <w:r>
        <w:t>The EMRC may provide financial assistance to members and employees in connection with the performance of their duties provided that the member or employee has acted reasonably and has not acted illegally, dishonestly, against the interests of the EMRC or otherwise in bad faith.</w:t>
      </w:r>
    </w:p>
    <w:p w:rsidR="006E6F42" w:rsidRDefault="006E6F42">
      <w:pPr>
        <w:ind w:left="720"/>
        <w:jc w:val="both"/>
      </w:pPr>
    </w:p>
    <w:p w:rsidR="006E6F42" w:rsidRDefault="006E6F42" w:rsidP="006F4C26">
      <w:pPr>
        <w:pStyle w:val="BodyTextIndent"/>
        <w:numPr>
          <w:ilvl w:val="0"/>
          <w:numId w:val="15"/>
        </w:numPr>
        <w:tabs>
          <w:tab w:val="clear" w:pos="1440"/>
          <w:tab w:val="num" w:pos="854"/>
        </w:tabs>
        <w:ind w:hanging="1034"/>
        <w:rPr>
          <w:rFonts w:ascii="Arial" w:hAnsi="Arial" w:cs="Arial"/>
          <w:b w:val="0"/>
          <w:caps w:val="0"/>
        </w:rPr>
      </w:pPr>
      <w:r>
        <w:rPr>
          <w:rFonts w:ascii="Arial" w:hAnsi="Arial" w:cs="Arial"/>
          <w:b w:val="0"/>
          <w:caps w:val="0"/>
        </w:rPr>
        <w:t>The EMRC may provide such assistance in the following types of legal proceedings:</w:t>
      </w:r>
    </w:p>
    <w:p w:rsidR="006E6F42" w:rsidRDefault="006E6F42">
      <w:pPr>
        <w:ind w:left="720"/>
        <w:jc w:val="both"/>
        <w:rPr>
          <w:rFonts w:cs="Arial"/>
        </w:rPr>
      </w:pPr>
    </w:p>
    <w:p w:rsidR="006E6F42" w:rsidRDefault="001D75AF" w:rsidP="006F4C26">
      <w:pPr>
        <w:numPr>
          <w:ilvl w:val="1"/>
          <w:numId w:val="18"/>
        </w:numPr>
        <w:tabs>
          <w:tab w:val="clear" w:pos="2007"/>
          <w:tab w:val="left" w:pos="1134"/>
        </w:tabs>
        <w:ind w:left="840" w:firstLine="28"/>
        <w:jc w:val="both"/>
      </w:pPr>
      <w:r>
        <w:t xml:space="preserve">Those </w:t>
      </w:r>
      <w:r w:rsidR="006E6F42">
        <w:t xml:space="preserve">brought by members and employees to enable them to carry out their EMRC </w:t>
      </w:r>
      <w:r w:rsidR="00E36D36">
        <w:tab/>
      </w:r>
      <w:r w:rsidR="006E6F42">
        <w:t>functions (</w:t>
      </w:r>
      <w:proofErr w:type="spellStart"/>
      <w:r w:rsidR="006E6F42">
        <w:t>eg</w:t>
      </w:r>
      <w:proofErr w:type="spellEnd"/>
      <w:r w:rsidR="006E6F42">
        <w:t xml:space="preserve"> where a member or employee seeks a restraining order against a person using </w:t>
      </w:r>
      <w:r w:rsidR="00E36D36">
        <w:tab/>
      </w:r>
      <w:r w:rsidR="006E6F42">
        <w:t>threatening behaviour);</w:t>
      </w:r>
    </w:p>
    <w:p w:rsidR="006E6F42" w:rsidRDefault="006E6F42">
      <w:pPr>
        <w:jc w:val="both"/>
      </w:pPr>
    </w:p>
    <w:p w:rsidR="006E6F42" w:rsidRDefault="001D75AF" w:rsidP="006F4C26">
      <w:pPr>
        <w:numPr>
          <w:ilvl w:val="1"/>
          <w:numId w:val="18"/>
        </w:numPr>
        <w:tabs>
          <w:tab w:val="clear" w:pos="2007"/>
          <w:tab w:val="left" w:pos="1134"/>
        </w:tabs>
        <w:ind w:left="840" w:firstLine="14"/>
        <w:jc w:val="both"/>
      </w:pPr>
      <w:r>
        <w:t xml:space="preserve">Those </w:t>
      </w:r>
      <w:r w:rsidR="006E6F42">
        <w:t xml:space="preserve">brought against members or employees [this could be in relation to a decision </w:t>
      </w:r>
      <w:r w:rsidR="00E36D36">
        <w:tab/>
      </w:r>
      <w:r w:rsidR="006E6F42">
        <w:t>of</w:t>
      </w:r>
      <w:r w:rsidR="00200A0B">
        <w:t xml:space="preserve"> </w:t>
      </w:r>
      <w:r w:rsidR="006E6F42">
        <w:t xml:space="preserve">Council or an employee which aggrieves another person or where the conduct of a </w:t>
      </w:r>
      <w:r w:rsidR="00E36D36">
        <w:tab/>
      </w:r>
      <w:r w:rsidR="006E6F42">
        <w:t xml:space="preserve">member or employee in carrying out his or her functions is considered detrimental to the </w:t>
      </w:r>
      <w:r w:rsidR="00E36D36">
        <w:tab/>
      </w:r>
      <w:r w:rsidR="006E6F42">
        <w:t>person (</w:t>
      </w:r>
      <w:proofErr w:type="spellStart"/>
      <w:r w:rsidR="006E6F42">
        <w:t>eg</w:t>
      </w:r>
      <w:proofErr w:type="spellEnd"/>
      <w:r w:rsidR="006E6F42">
        <w:t xml:space="preserve"> defending defamation actions)]; and</w:t>
      </w:r>
    </w:p>
    <w:p w:rsidR="006E6F42" w:rsidRDefault="006E6F42">
      <w:pPr>
        <w:jc w:val="both"/>
      </w:pPr>
    </w:p>
    <w:p w:rsidR="006E6F42" w:rsidRDefault="006E6F42" w:rsidP="006F4C26">
      <w:pPr>
        <w:numPr>
          <w:ilvl w:val="1"/>
          <w:numId w:val="18"/>
        </w:numPr>
        <w:tabs>
          <w:tab w:val="clear" w:pos="2007"/>
          <w:tab w:val="left" w:pos="1134"/>
        </w:tabs>
        <w:ind w:left="840" w:firstLine="14"/>
        <w:jc w:val="both"/>
      </w:pPr>
      <w:r>
        <w:t>Statutory or other inquiries where representation of members or employees is justified.</w:t>
      </w:r>
    </w:p>
    <w:p w:rsidR="00D07A61" w:rsidRDefault="00D07A61">
      <w:pPr>
        <w:jc w:val="both"/>
        <w:sectPr w:rsidR="00D07A61" w:rsidSect="00F64EF2">
          <w:headerReference w:type="default" r:id="rId8"/>
          <w:footerReference w:type="default" r:id="rId9"/>
          <w:headerReference w:type="first" r:id="rId10"/>
          <w:footerReference w:type="first" r:id="rId11"/>
          <w:pgSz w:w="11906" w:h="16838" w:code="9"/>
          <w:pgMar w:top="1644" w:right="851" w:bottom="851" w:left="1701" w:header="737" w:footer="284" w:gutter="0"/>
          <w:cols w:space="720"/>
          <w:titlePg/>
        </w:sectPr>
      </w:pPr>
    </w:p>
    <w:p w:rsidR="006E6F42" w:rsidRDefault="006E6F42">
      <w:pPr>
        <w:jc w:val="both"/>
      </w:pPr>
    </w:p>
    <w:p w:rsidR="001D75AF" w:rsidRDefault="001D75AF">
      <w:pPr>
        <w:jc w:val="both"/>
      </w:pPr>
    </w:p>
    <w:p w:rsidR="006E6F42" w:rsidRDefault="006E6F42" w:rsidP="006F4C26">
      <w:pPr>
        <w:numPr>
          <w:ilvl w:val="0"/>
          <w:numId w:val="15"/>
        </w:numPr>
        <w:tabs>
          <w:tab w:val="clear" w:pos="1440"/>
          <w:tab w:val="num" w:pos="840"/>
        </w:tabs>
        <w:ind w:left="784" w:hanging="378"/>
        <w:jc w:val="both"/>
      </w:pPr>
      <w:r>
        <w:t xml:space="preserve">The EMRC will not support any defamation actions seeking the payment of damages for </w:t>
      </w:r>
      <w:r w:rsidR="00E36D36">
        <w:tab/>
      </w:r>
      <w:r>
        <w:t xml:space="preserve">individual members or employees in regard to comments or criticisms levelled at their conduct in </w:t>
      </w:r>
      <w:r w:rsidR="00E36D36">
        <w:tab/>
      </w:r>
      <w:r>
        <w:t xml:space="preserve">their respective roles.  Members or employees are not precluded, however, from taking their </w:t>
      </w:r>
      <w:r w:rsidR="00E36D36">
        <w:tab/>
      </w:r>
      <w:r>
        <w:t xml:space="preserve">own private action.  Further, the EMRC may seek its own advice on any aspect relating to such </w:t>
      </w:r>
      <w:r w:rsidR="00E36D36">
        <w:tab/>
      </w:r>
      <w:r>
        <w:t>comments and criticisms of relevance to it.</w:t>
      </w:r>
    </w:p>
    <w:p w:rsidR="006E6F42" w:rsidRDefault="006E6F42">
      <w:pPr>
        <w:jc w:val="both"/>
      </w:pPr>
    </w:p>
    <w:p w:rsidR="006E6F42" w:rsidRDefault="006E6F42" w:rsidP="006F4C26">
      <w:pPr>
        <w:numPr>
          <w:ilvl w:val="0"/>
          <w:numId w:val="15"/>
        </w:numPr>
        <w:tabs>
          <w:tab w:val="clear" w:pos="1440"/>
          <w:tab w:val="num" w:pos="840"/>
        </w:tabs>
        <w:ind w:left="784" w:hanging="378"/>
        <w:jc w:val="both"/>
      </w:pPr>
      <w:r>
        <w:t xml:space="preserve">The legal services the subject of assistance under this policy will usually be provided by the </w:t>
      </w:r>
      <w:r w:rsidR="00E36D36">
        <w:tab/>
      </w:r>
      <w:r>
        <w:t xml:space="preserve">EMRC’s solicitors.  Where this is not appropriate for practical reasons or because of a conflict of </w:t>
      </w:r>
      <w:r w:rsidR="00E36D36">
        <w:tab/>
      </w:r>
      <w:r>
        <w:t>interest then the service may be provided by other solicitors approved by the EMRC.</w:t>
      </w:r>
    </w:p>
    <w:p w:rsidR="006E6F42" w:rsidRDefault="006E6F42">
      <w:pPr>
        <w:jc w:val="both"/>
      </w:pPr>
    </w:p>
    <w:p w:rsidR="006E6F42" w:rsidRDefault="006E6F42"/>
    <w:p w:rsidR="006E6F42" w:rsidRDefault="006E6F42">
      <w:pPr>
        <w:pStyle w:val="Header"/>
        <w:numPr>
          <w:ilvl w:val="0"/>
          <w:numId w:val="18"/>
        </w:numPr>
        <w:tabs>
          <w:tab w:val="clear" w:pos="4153"/>
          <w:tab w:val="clear" w:pos="8306"/>
        </w:tabs>
        <w:rPr>
          <w:b/>
          <w:bCs/>
        </w:rPr>
      </w:pPr>
      <w:r>
        <w:rPr>
          <w:b/>
          <w:bCs/>
        </w:rPr>
        <w:t>Applications for Financial Assistance</w:t>
      </w:r>
    </w:p>
    <w:p w:rsidR="006E6F42" w:rsidRDefault="006E6F42">
      <w:pPr>
        <w:ind w:left="720"/>
        <w:jc w:val="both"/>
        <w:rPr>
          <w:b/>
        </w:rPr>
      </w:pPr>
    </w:p>
    <w:p w:rsidR="006E6F42" w:rsidRDefault="006E6F42" w:rsidP="006F4C26">
      <w:pPr>
        <w:numPr>
          <w:ilvl w:val="0"/>
          <w:numId w:val="24"/>
        </w:numPr>
        <w:tabs>
          <w:tab w:val="clear" w:pos="1440"/>
          <w:tab w:val="num" w:pos="840"/>
        </w:tabs>
        <w:ind w:left="854" w:hanging="448"/>
        <w:jc w:val="both"/>
        <w:rPr>
          <w:rFonts w:cs="Arial"/>
        </w:rPr>
      </w:pPr>
      <w:r>
        <w:rPr>
          <w:rFonts w:cs="Arial"/>
        </w:rPr>
        <w:t>Subject to item (</w:t>
      </w:r>
      <w:r w:rsidR="00562474">
        <w:rPr>
          <w:rFonts w:cs="Arial"/>
        </w:rPr>
        <w:t>f</w:t>
      </w:r>
      <w:r>
        <w:rPr>
          <w:rFonts w:cs="Arial"/>
        </w:rPr>
        <w:t>), decisions as to financial assistance under this policy are to be made by Council.</w:t>
      </w:r>
    </w:p>
    <w:p w:rsidR="006E6F42" w:rsidRDefault="006E6F42">
      <w:pPr>
        <w:jc w:val="both"/>
        <w:rPr>
          <w:rFonts w:cs="Arial"/>
        </w:rPr>
      </w:pPr>
    </w:p>
    <w:p w:rsidR="006E6F42" w:rsidRDefault="006E6F42" w:rsidP="006F4C26">
      <w:pPr>
        <w:numPr>
          <w:ilvl w:val="0"/>
          <w:numId w:val="24"/>
        </w:numPr>
        <w:tabs>
          <w:tab w:val="clear" w:pos="1440"/>
          <w:tab w:val="left" w:pos="840"/>
        </w:tabs>
        <w:ind w:left="840" w:hanging="434"/>
        <w:jc w:val="both"/>
      </w:pPr>
      <w:r>
        <w:t>A member or employee requesting financial support for legal services under this policy is to make an application in writing, where possible in advance, to the Council providing full details of the circumstances of the matter and the legal services required.</w:t>
      </w:r>
      <w:r w:rsidR="00F84B8A">
        <w:t xml:space="preserve"> Such a request is to contain a declaration that the applicant has acted in good faith, and has not acted unlawfully or in </w:t>
      </w:r>
      <w:proofErr w:type="spellStart"/>
      <w:r w:rsidR="00F84B8A">
        <w:t>anyway</w:t>
      </w:r>
      <w:proofErr w:type="spellEnd"/>
      <w:r w:rsidR="00F84B8A">
        <w:t xml:space="preserve"> that constitutes improper conduct in relation to the matter to which the application relates.</w:t>
      </w:r>
    </w:p>
    <w:p w:rsidR="003D02F4" w:rsidRDefault="003D02F4" w:rsidP="003D02F4">
      <w:pPr>
        <w:jc w:val="both"/>
      </w:pPr>
    </w:p>
    <w:p w:rsidR="003D02F4" w:rsidRDefault="00F44B2B" w:rsidP="006F4C26">
      <w:pPr>
        <w:numPr>
          <w:ilvl w:val="0"/>
          <w:numId w:val="16"/>
        </w:numPr>
        <w:tabs>
          <w:tab w:val="clear" w:pos="1440"/>
          <w:tab w:val="num" w:pos="840"/>
        </w:tabs>
        <w:ind w:hanging="1020"/>
        <w:jc w:val="both"/>
      </w:pPr>
      <w:r>
        <w:t>The application is to be accompanied by a written statement by the applicant that he or she:</w:t>
      </w:r>
    </w:p>
    <w:p w:rsidR="00F44B2B" w:rsidRDefault="00F44B2B" w:rsidP="00F44B2B">
      <w:pPr>
        <w:jc w:val="both"/>
      </w:pPr>
    </w:p>
    <w:p w:rsidR="00F44B2B" w:rsidRDefault="0024315F" w:rsidP="006F4C26">
      <w:pPr>
        <w:numPr>
          <w:ilvl w:val="1"/>
          <w:numId w:val="18"/>
        </w:numPr>
        <w:tabs>
          <w:tab w:val="clear" w:pos="2007"/>
        </w:tabs>
        <w:ind w:left="1162" w:hanging="322"/>
        <w:jc w:val="both"/>
      </w:pPr>
      <w:r>
        <w:t xml:space="preserve">has </w:t>
      </w:r>
      <w:r w:rsidR="00936597">
        <w:t>read, and understands, the terms of this policy;</w:t>
      </w:r>
    </w:p>
    <w:p w:rsidR="00BF21BD" w:rsidRDefault="00BF21BD" w:rsidP="00BF21BD">
      <w:pPr>
        <w:jc w:val="both"/>
      </w:pPr>
    </w:p>
    <w:p w:rsidR="00936597" w:rsidRDefault="00936597" w:rsidP="006F4C26">
      <w:pPr>
        <w:numPr>
          <w:ilvl w:val="1"/>
          <w:numId w:val="18"/>
        </w:numPr>
        <w:tabs>
          <w:tab w:val="clear" w:pos="2007"/>
        </w:tabs>
        <w:ind w:left="1162" w:hanging="322"/>
        <w:jc w:val="both"/>
      </w:pPr>
      <w:r>
        <w:t>acknowledges that any approval of legal representation costs is conditional on the repayment provisions of clause 3 and any other conditions to which the approval is subject; and</w:t>
      </w:r>
    </w:p>
    <w:p w:rsidR="00BF21BD" w:rsidRDefault="00BF21BD" w:rsidP="00BF21BD">
      <w:pPr>
        <w:jc w:val="both"/>
      </w:pPr>
    </w:p>
    <w:p w:rsidR="00936597" w:rsidRDefault="00936597" w:rsidP="006F4C26">
      <w:pPr>
        <w:numPr>
          <w:ilvl w:val="1"/>
          <w:numId w:val="18"/>
        </w:numPr>
        <w:tabs>
          <w:tab w:val="clear" w:pos="2007"/>
          <w:tab w:val="left" w:pos="1134"/>
        </w:tabs>
        <w:ind w:left="1148" w:hanging="308"/>
        <w:jc w:val="both"/>
      </w:pPr>
      <w:r>
        <w:t>undertakes to repay to the EMRC any legal representation costs in accordance with the provisions of clause 3.</w:t>
      </w:r>
    </w:p>
    <w:p w:rsidR="006E6F42" w:rsidRDefault="006E6F42">
      <w:pPr>
        <w:jc w:val="both"/>
      </w:pPr>
    </w:p>
    <w:p w:rsidR="006E6F42" w:rsidRDefault="006E6F42" w:rsidP="006F4C26">
      <w:pPr>
        <w:numPr>
          <w:ilvl w:val="0"/>
          <w:numId w:val="16"/>
        </w:numPr>
        <w:tabs>
          <w:tab w:val="clear" w:pos="1440"/>
          <w:tab w:val="num" w:pos="840"/>
        </w:tabs>
        <w:ind w:left="840" w:hanging="406"/>
        <w:jc w:val="both"/>
      </w:pPr>
      <w:r>
        <w:t xml:space="preserve">An application to the Council is to be </w:t>
      </w:r>
      <w:r w:rsidR="00644FD4">
        <w:t xml:space="preserve">accompanied </w:t>
      </w:r>
      <w:r>
        <w:t>by an assessment of the request and with a recommendation, which has been prepared by, or on behalf of, the Chief Executive Officer (CEO)</w:t>
      </w:r>
      <w:r w:rsidR="003079A4">
        <w:t xml:space="preserve"> or where the CEO is the applicant by the Director Corporate Services</w:t>
      </w:r>
      <w:r w:rsidR="0003243A">
        <w:t>.</w:t>
      </w:r>
    </w:p>
    <w:p w:rsidR="006E6F42" w:rsidRDefault="006E6F42">
      <w:pPr>
        <w:jc w:val="both"/>
      </w:pPr>
    </w:p>
    <w:p w:rsidR="006E6F42" w:rsidRDefault="006E6F42" w:rsidP="006F4C26">
      <w:pPr>
        <w:numPr>
          <w:ilvl w:val="0"/>
          <w:numId w:val="16"/>
        </w:numPr>
        <w:tabs>
          <w:tab w:val="clear" w:pos="1440"/>
          <w:tab w:val="left" w:pos="826"/>
        </w:tabs>
        <w:ind w:left="434" w:hanging="14"/>
        <w:jc w:val="both"/>
      </w:pPr>
      <w:r>
        <w:t xml:space="preserve">A member or employee requesting financial support for legal services, or any other person who </w:t>
      </w:r>
      <w:r w:rsidR="00AC7629">
        <w:tab/>
      </w:r>
      <w:r>
        <w:t xml:space="preserve">might have a financial interest in the matter, should take care to ensure compliance with the </w:t>
      </w:r>
      <w:r w:rsidR="00AC7629">
        <w:tab/>
      </w:r>
      <w:r>
        <w:t xml:space="preserve">financial interest provisions of the </w:t>
      </w:r>
      <w:r>
        <w:rPr>
          <w:i/>
        </w:rPr>
        <w:t>Local Government Act 1995.</w:t>
      </w:r>
    </w:p>
    <w:p w:rsidR="006E6F42" w:rsidRDefault="006E6F42" w:rsidP="006F4C26">
      <w:pPr>
        <w:ind w:left="434"/>
        <w:jc w:val="both"/>
      </w:pPr>
    </w:p>
    <w:p w:rsidR="006E6F42" w:rsidRPr="00294192" w:rsidRDefault="006E6F42" w:rsidP="006F4C26">
      <w:pPr>
        <w:numPr>
          <w:ilvl w:val="0"/>
          <w:numId w:val="16"/>
        </w:numPr>
        <w:tabs>
          <w:tab w:val="clear" w:pos="1440"/>
          <w:tab w:val="left" w:pos="826"/>
        </w:tabs>
        <w:ind w:left="826" w:hanging="406"/>
        <w:jc w:val="both"/>
      </w:pPr>
      <w:r>
        <w:t>Where there is a need for the provision of urgent legal services before an application can be</w:t>
      </w:r>
      <w:r w:rsidR="00AC7629">
        <w:t xml:space="preserve"> </w:t>
      </w:r>
      <w:r>
        <w:t>considered by Council, the CEO may give an authorisation to the value of $5</w:t>
      </w:r>
      <w:r w:rsidR="005F6EAD">
        <w:t>,</w:t>
      </w:r>
      <w:r>
        <w:t xml:space="preserve">000 provided that the power to make such an authorisation has been delegated to the CEO in writing under section 5.42 of the </w:t>
      </w:r>
      <w:r>
        <w:rPr>
          <w:i/>
        </w:rPr>
        <w:t>Local Government Act 1995.</w:t>
      </w:r>
      <w:r w:rsidR="0003243A">
        <w:rPr>
          <w:i/>
        </w:rPr>
        <w:t xml:space="preserve"> </w:t>
      </w:r>
      <w:r w:rsidR="0003243A">
        <w:t>Council has delegated the authority to the CEO, up to $5,000 per application, where the need arises for urgent legal services. (Delegation C7/2001).</w:t>
      </w:r>
    </w:p>
    <w:p w:rsidR="00294192" w:rsidRDefault="00294192" w:rsidP="00294192">
      <w:pPr>
        <w:jc w:val="both"/>
      </w:pPr>
    </w:p>
    <w:p w:rsidR="00294192" w:rsidRDefault="00294192" w:rsidP="006F4C26">
      <w:pPr>
        <w:numPr>
          <w:ilvl w:val="0"/>
          <w:numId w:val="16"/>
        </w:numPr>
        <w:tabs>
          <w:tab w:val="clear" w:pos="1440"/>
          <w:tab w:val="num" w:pos="826"/>
        </w:tabs>
        <w:ind w:left="840" w:hanging="434"/>
        <w:jc w:val="both"/>
      </w:pPr>
      <w:r>
        <w:t xml:space="preserve">Where it is the CEO who is seeking urgent financial support for legal services the </w:t>
      </w:r>
      <w:r w:rsidR="003079A4">
        <w:t>Director</w:t>
      </w:r>
      <w:r w:rsidR="00D07A61">
        <w:t xml:space="preserve"> </w:t>
      </w:r>
      <w:r w:rsidR="003079A4">
        <w:t xml:space="preserve">Corporate Services in consultation with the Chairman </w:t>
      </w:r>
      <w:r>
        <w:t>shall deal with the application.</w:t>
      </w:r>
    </w:p>
    <w:p w:rsidR="007E7A61" w:rsidRDefault="007E7A61" w:rsidP="0021327A">
      <w:pPr>
        <w:jc w:val="both"/>
      </w:pPr>
    </w:p>
    <w:p w:rsidR="00AC7629" w:rsidRDefault="00AC7629" w:rsidP="0021327A">
      <w:pPr>
        <w:jc w:val="both"/>
        <w:sectPr w:rsidR="00AC7629" w:rsidSect="00F64EF2">
          <w:pgSz w:w="11906" w:h="16838" w:code="9"/>
          <w:pgMar w:top="1644" w:right="851" w:bottom="851" w:left="1701" w:header="737" w:footer="284" w:gutter="0"/>
          <w:cols w:space="720"/>
          <w:titlePg/>
        </w:sectPr>
      </w:pPr>
    </w:p>
    <w:p w:rsidR="007E7A61" w:rsidRDefault="007E7A61" w:rsidP="0021327A">
      <w:pPr>
        <w:jc w:val="both"/>
      </w:pPr>
    </w:p>
    <w:p w:rsidR="00AC7629" w:rsidRDefault="00AC7629" w:rsidP="0021327A">
      <w:pPr>
        <w:jc w:val="both"/>
      </w:pPr>
    </w:p>
    <w:p w:rsidR="006E6F42" w:rsidRDefault="006E6F42">
      <w:pPr>
        <w:numPr>
          <w:ilvl w:val="0"/>
          <w:numId w:val="18"/>
        </w:numPr>
        <w:rPr>
          <w:b/>
          <w:bCs/>
        </w:rPr>
      </w:pPr>
      <w:r>
        <w:rPr>
          <w:b/>
          <w:bCs/>
        </w:rPr>
        <w:t>Repayment of Assistance</w:t>
      </w:r>
    </w:p>
    <w:p w:rsidR="006E6F42" w:rsidRDefault="006E6F42">
      <w:pPr>
        <w:rPr>
          <w:b/>
          <w:bCs/>
        </w:rPr>
      </w:pPr>
    </w:p>
    <w:p w:rsidR="006E6F42" w:rsidRDefault="006E6F42" w:rsidP="006F4C26">
      <w:pPr>
        <w:pStyle w:val="BodyTextIndent3"/>
        <w:numPr>
          <w:ilvl w:val="0"/>
          <w:numId w:val="17"/>
        </w:numPr>
        <w:tabs>
          <w:tab w:val="clear" w:pos="1440"/>
          <w:tab w:val="num" w:pos="851"/>
        </w:tabs>
        <w:ind w:left="840" w:hanging="420"/>
        <w:jc w:val="both"/>
        <w:rPr>
          <w:rFonts w:ascii="Arial" w:hAnsi="Arial" w:cs="Arial"/>
        </w:rPr>
      </w:pPr>
      <w:r>
        <w:rPr>
          <w:rFonts w:ascii="Arial" w:hAnsi="Arial" w:cs="Arial"/>
        </w:rPr>
        <w:t xml:space="preserve">Any amount recovered by a member or employee in proceedings, whether for costs or damages, will be off set against any </w:t>
      </w:r>
      <w:r w:rsidR="008B2CCD">
        <w:rPr>
          <w:rFonts w:ascii="Arial" w:hAnsi="Arial" w:cs="Arial"/>
        </w:rPr>
        <w:t xml:space="preserve">monies </w:t>
      </w:r>
      <w:r>
        <w:rPr>
          <w:rFonts w:ascii="Arial" w:hAnsi="Arial" w:cs="Arial"/>
        </w:rPr>
        <w:t>paid or payable by the EMRC.</w:t>
      </w:r>
    </w:p>
    <w:p w:rsidR="006E6F42" w:rsidRDefault="006E6F42">
      <w:pPr>
        <w:pStyle w:val="BodyTextIndent3"/>
        <w:jc w:val="both"/>
        <w:rPr>
          <w:rFonts w:ascii="Arial" w:hAnsi="Arial" w:cs="Arial"/>
        </w:rPr>
      </w:pPr>
    </w:p>
    <w:p w:rsidR="006E6F42" w:rsidRDefault="00AC7629" w:rsidP="006F4C26">
      <w:pPr>
        <w:pStyle w:val="BodyTextIndent3"/>
        <w:numPr>
          <w:ilvl w:val="0"/>
          <w:numId w:val="17"/>
        </w:numPr>
        <w:tabs>
          <w:tab w:val="clear" w:pos="1440"/>
        </w:tabs>
        <w:ind w:left="840" w:hanging="406"/>
        <w:jc w:val="both"/>
        <w:rPr>
          <w:rFonts w:ascii="Arial" w:hAnsi="Arial" w:cs="Arial"/>
        </w:rPr>
      </w:pPr>
      <w:r>
        <w:rPr>
          <w:rFonts w:ascii="Arial" w:hAnsi="Arial" w:cs="Arial"/>
        </w:rPr>
        <w:tab/>
      </w:r>
      <w:r w:rsidR="006E6F42">
        <w:rPr>
          <w:rFonts w:ascii="Arial" w:hAnsi="Arial" w:cs="Arial"/>
        </w:rPr>
        <w:t>Assistance will be withdrawn where the Council determines, upon legal advice, that a person has acted unreasonably, illegally, dishonestly, against the interests of the EMRC or otherwise in bad faith; or where information from the person is shown to have been false or misleading.</w:t>
      </w:r>
    </w:p>
    <w:p w:rsidR="006E6F42" w:rsidRDefault="006E6F42">
      <w:pPr>
        <w:pStyle w:val="BodyTextIndent3"/>
        <w:ind w:left="0"/>
        <w:jc w:val="both"/>
        <w:rPr>
          <w:rFonts w:ascii="Arial" w:hAnsi="Arial" w:cs="Arial"/>
        </w:rPr>
      </w:pPr>
    </w:p>
    <w:p w:rsidR="006E6F42" w:rsidRDefault="00AC7629" w:rsidP="006F4C26">
      <w:pPr>
        <w:pStyle w:val="BodyTextIndent3"/>
        <w:numPr>
          <w:ilvl w:val="0"/>
          <w:numId w:val="17"/>
        </w:numPr>
        <w:tabs>
          <w:tab w:val="clear" w:pos="1440"/>
        </w:tabs>
        <w:ind w:left="840" w:hanging="420"/>
        <w:jc w:val="both"/>
        <w:rPr>
          <w:rFonts w:ascii="Arial" w:hAnsi="Arial" w:cs="Arial"/>
        </w:rPr>
      </w:pPr>
      <w:r>
        <w:rPr>
          <w:rFonts w:ascii="Arial" w:hAnsi="Arial" w:cs="Arial"/>
        </w:rPr>
        <w:tab/>
      </w:r>
      <w:r w:rsidR="006E6F42">
        <w:rPr>
          <w:rFonts w:ascii="Arial" w:hAnsi="Arial" w:cs="Arial"/>
        </w:rPr>
        <w:t>Where assistance is so withdrawn, the person who obtained financial support is to repay any</w:t>
      </w:r>
      <w:r>
        <w:rPr>
          <w:rFonts w:ascii="Arial" w:hAnsi="Arial" w:cs="Arial"/>
        </w:rPr>
        <w:t xml:space="preserve"> </w:t>
      </w:r>
      <w:r w:rsidR="006E6F42">
        <w:rPr>
          <w:rFonts w:ascii="Arial" w:hAnsi="Arial" w:cs="Arial"/>
        </w:rPr>
        <w:t>moneys already provided. The EMRC may take action to recover any such moneys in a court of competent jurisdiction.</w:t>
      </w:r>
    </w:p>
    <w:p w:rsidR="006E6F42" w:rsidRPr="0021327A" w:rsidRDefault="006E6F42" w:rsidP="006F4C26">
      <w:pPr>
        <w:pStyle w:val="Heading1"/>
        <w:spacing w:after="240"/>
        <w:rPr>
          <w:b/>
        </w:rPr>
      </w:pPr>
      <w:r w:rsidRPr="0021327A">
        <w:rPr>
          <w:b/>
        </w:rPr>
        <w:t>FINANCIAL CONSIDERATIONS</w:t>
      </w:r>
    </w:p>
    <w:p w:rsidR="006E6F42" w:rsidRDefault="006E6F42">
      <w:pPr>
        <w:jc w:val="both"/>
      </w:pPr>
      <w:r>
        <w:t>A contingent item that could materialise at any time and therefore requires a budget allocation.</w:t>
      </w:r>
    </w:p>
    <w:p w:rsidR="006E6F42" w:rsidRDefault="006E6F42">
      <w:pPr>
        <w:jc w:val="both"/>
      </w:pPr>
    </w:p>
    <w:p w:rsidR="006E6F42" w:rsidRDefault="006E6F42">
      <w:pPr>
        <w:jc w:val="both"/>
      </w:pPr>
    </w:p>
    <w:p w:rsidR="006E6F42" w:rsidRDefault="006E6F42">
      <w:pPr>
        <w:jc w:val="both"/>
      </w:pPr>
    </w:p>
    <w:p w:rsidR="006E6F42" w:rsidRDefault="006E6F42">
      <w:pPr>
        <w:pBdr>
          <w:top w:val="single" w:sz="12" w:space="1" w:color="auto"/>
        </w:pBdr>
        <w:jc w:val="both"/>
      </w:pPr>
    </w:p>
    <w:tbl>
      <w:tblPr>
        <w:tblW w:w="0" w:type="auto"/>
        <w:tblLook w:val="01E0" w:firstRow="1" w:lastRow="1" w:firstColumn="1" w:lastColumn="1" w:noHBand="0" w:noVBand="0"/>
      </w:tblPr>
      <w:tblGrid>
        <w:gridCol w:w="4621"/>
        <w:gridCol w:w="4621"/>
      </w:tblGrid>
      <w:tr w:rsidR="006E6F42">
        <w:trPr>
          <w:trHeight w:val="282"/>
        </w:trPr>
        <w:tc>
          <w:tcPr>
            <w:tcW w:w="4621" w:type="dxa"/>
          </w:tcPr>
          <w:p w:rsidR="006E6F42" w:rsidRDefault="006E6F42">
            <w:pPr>
              <w:jc w:val="both"/>
              <w:rPr>
                <w:rFonts w:cs="Arial"/>
              </w:rPr>
            </w:pPr>
            <w:r>
              <w:rPr>
                <w:rFonts w:cs="Arial"/>
              </w:rPr>
              <w:t>Adopted/Reviewed by Council</w:t>
            </w:r>
          </w:p>
          <w:p w:rsidR="006E6F42" w:rsidRDefault="006E6F42">
            <w:pPr>
              <w:jc w:val="both"/>
              <w:rPr>
                <w:rFonts w:cs="Arial"/>
              </w:rPr>
            </w:pPr>
          </w:p>
        </w:tc>
        <w:tc>
          <w:tcPr>
            <w:tcW w:w="4621" w:type="dxa"/>
          </w:tcPr>
          <w:p w:rsidR="006E6F42" w:rsidRDefault="006E6F42">
            <w:pPr>
              <w:numPr>
                <w:ilvl w:val="0"/>
                <w:numId w:val="21"/>
              </w:numPr>
              <w:jc w:val="both"/>
            </w:pPr>
            <w:smartTag w:uri="urn:schemas-microsoft-com:office:smarttags" w:element="country-region">
              <w:smartTagPr>
                <w:attr w:name="Year" w:val="2000"/>
                <w:attr w:name="Day" w:val="20"/>
                <w:attr w:name="Month" w:val="10"/>
              </w:smartTagPr>
              <w:r>
                <w:t>20 October 2000</w:t>
              </w:r>
            </w:smartTag>
          </w:p>
          <w:p w:rsidR="006E6F42" w:rsidRDefault="006E6F42">
            <w:pPr>
              <w:numPr>
                <w:ilvl w:val="0"/>
                <w:numId w:val="21"/>
              </w:numPr>
              <w:jc w:val="both"/>
              <w:rPr>
                <w:rFonts w:cs="Arial"/>
              </w:rPr>
            </w:pPr>
            <w:smartTag w:uri="urn:schemas-microsoft-com:office:smarttags" w:element="country-region">
              <w:smartTagPr>
                <w:attr w:name="Year" w:val="2000"/>
                <w:attr w:name="Day" w:val="14"/>
                <w:attr w:name="Month" w:val="12"/>
              </w:smartTagPr>
              <w:r>
                <w:t>14 December 2000</w:t>
              </w:r>
            </w:smartTag>
          </w:p>
          <w:p w:rsidR="006E6F42" w:rsidRPr="00DB158F" w:rsidRDefault="006E6F42">
            <w:pPr>
              <w:numPr>
                <w:ilvl w:val="0"/>
                <w:numId w:val="21"/>
              </w:numPr>
              <w:jc w:val="both"/>
              <w:rPr>
                <w:rFonts w:cs="Arial"/>
              </w:rPr>
            </w:pPr>
            <w:r>
              <w:t>02 May 2002</w:t>
            </w:r>
          </w:p>
          <w:p w:rsidR="00DB158F" w:rsidRPr="000C179F" w:rsidRDefault="00DB158F">
            <w:pPr>
              <w:numPr>
                <w:ilvl w:val="0"/>
                <w:numId w:val="21"/>
              </w:numPr>
              <w:jc w:val="both"/>
              <w:rPr>
                <w:rFonts w:cs="Arial"/>
              </w:rPr>
            </w:pPr>
            <w:r>
              <w:t>2</w:t>
            </w:r>
            <w:r w:rsidR="009C6E27">
              <w:t>0</w:t>
            </w:r>
            <w:r>
              <w:t xml:space="preserve"> May 2004</w:t>
            </w:r>
          </w:p>
          <w:p w:rsidR="000C179F" w:rsidRPr="002D6753" w:rsidRDefault="000C179F">
            <w:pPr>
              <w:numPr>
                <w:ilvl w:val="0"/>
                <w:numId w:val="21"/>
              </w:numPr>
              <w:jc w:val="both"/>
              <w:rPr>
                <w:rFonts w:cs="Arial"/>
              </w:rPr>
            </w:pPr>
            <w:r>
              <w:t>23 February 2006</w:t>
            </w:r>
          </w:p>
          <w:p w:rsidR="002D6753" w:rsidRPr="00462DD5" w:rsidRDefault="002D6753">
            <w:pPr>
              <w:numPr>
                <w:ilvl w:val="0"/>
                <w:numId w:val="21"/>
              </w:numPr>
              <w:jc w:val="both"/>
              <w:rPr>
                <w:rFonts w:cs="Arial"/>
              </w:rPr>
            </w:pPr>
            <w:r>
              <w:t>18 September 2008</w:t>
            </w:r>
          </w:p>
          <w:p w:rsidR="00462DD5" w:rsidRPr="00644FD4" w:rsidRDefault="00462DD5">
            <w:pPr>
              <w:numPr>
                <w:ilvl w:val="0"/>
                <w:numId w:val="21"/>
              </w:numPr>
              <w:jc w:val="both"/>
              <w:rPr>
                <w:rFonts w:cs="Arial"/>
              </w:rPr>
            </w:pPr>
            <w:r>
              <w:t>23 September 2010</w:t>
            </w:r>
          </w:p>
          <w:p w:rsidR="008B2CCD" w:rsidRPr="006F4C26" w:rsidRDefault="008B2CCD">
            <w:pPr>
              <w:numPr>
                <w:ilvl w:val="0"/>
                <w:numId w:val="21"/>
              </w:numPr>
              <w:jc w:val="both"/>
              <w:rPr>
                <w:rFonts w:cs="Arial"/>
              </w:rPr>
            </w:pPr>
            <w:r>
              <w:t>18 September 2014</w:t>
            </w:r>
          </w:p>
          <w:p w:rsidR="00E8687B" w:rsidRPr="00A6720C" w:rsidRDefault="00A80708">
            <w:pPr>
              <w:numPr>
                <w:ilvl w:val="0"/>
                <w:numId w:val="21"/>
              </w:numPr>
              <w:jc w:val="both"/>
              <w:rPr>
                <w:rFonts w:cs="Arial"/>
              </w:rPr>
            </w:pPr>
            <w:r>
              <w:t>0</w:t>
            </w:r>
            <w:r w:rsidR="001D75AF">
              <w:t>6 December</w:t>
            </w:r>
            <w:r w:rsidR="00E8687B">
              <w:t xml:space="preserve"> 2018</w:t>
            </w:r>
          </w:p>
          <w:p w:rsidR="00A6720C" w:rsidRDefault="00A6720C" w:rsidP="00A6720C">
            <w:pPr>
              <w:jc w:val="both"/>
              <w:rPr>
                <w:rFonts w:cs="Arial"/>
              </w:rPr>
            </w:pPr>
          </w:p>
        </w:tc>
      </w:tr>
      <w:tr w:rsidR="006E6F42">
        <w:trPr>
          <w:trHeight w:val="280"/>
        </w:trPr>
        <w:tc>
          <w:tcPr>
            <w:tcW w:w="4621" w:type="dxa"/>
          </w:tcPr>
          <w:p w:rsidR="006E6F42" w:rsidRDefault="006E6F42">
            <w:pPr>
              <w:jc w:val="both"/>
              <w:rPr>
                <w:rFonts w:cs="Arial"/>
              </w:rPr>
            </w:pPr>
            <w:r>
              <w:rPr>
                <w:rFonts w:cs="Arial"/>
              </w:rPr>
              <w:t>Next Review</w:t>
            </w:r>
          </w:p>
          <w:p w:rsidR="006E6F42" w:rsidRDefault="006E6F42">
            <w:pPr>
              <w:jc w:val="both"/>
              <w:rPr>
                <w:rFonts w:cs="Arial"/>
              </w:rPr>
            </w:pPr>
          </w:p>
        </w:tc>
        <w:tc>
          <w:tcPr>
            <w:tcW w:w="4621" w:type="dxa"/>
          </w:tcPr>
          <w:p w:rsidR="006E6F42" w:rsidRDefault="000C179F">
            <w:pPr>
              <w:jc w:val="both"/>
              <w:rPr>
                <w:rFonts w:cs="Arial"/>
              </w:rPr>
            </w:pPr>
            <w:r w:rsidRPr="000C179F">
              <w:rPr>
                <w:rFonts w:cs="Arial"/>
              </w:rPr>
              <w:t xml:space="preserve">Following the Ordinary Elections in </w:t>
            </w:r>
            <w:r w:rsidR="00E8687B" w:rsidRPr="000C179F">
              <w:rPr>
                <w:rFonts w:cs="Arial"/>
              </w:rPr>
              <w:t>20</w:t>
            </w:r>
            <w:r w:rsidR="00E8687B">
              <w:rPr>
                <w:rFonts w:cs="Arial"/>
              </w:rPr>
              <w:t>21</w:t>
            </w:r>
          </w:p>
        </w:tc>
      </w:tr>
      <w:tr w:rsidR="006E6F42">
        <w:trPr>
          <w:trHeight w:val="280"/>
        </w:trPr>
        <w:tc>
          <w:tcPr>
            <w:tcW w:w="4621" w:type="dxa"/>
          </w:tcPr>
          <w:p w:rsidR="006E6F42" w:rsidRDefault="006E6F42">
            <w:pPr>
              <w:jc w:val="both"/>
              <w:rPr>
                <w:rFonts w:cs="Arial"/>
              </w:rPr>
            </w:pPr>
            <w:r>
              <w:rPr>
                <w:rFonts w:cs="Arial"/>
              </w:rPr>
              <w:t xml:space="preserve">Responsible </w:t>
            </w:r>
            <w:r w:rsidR="001D75AF">
              <w:rPr>
                <w:rFonts w:cs="Arial"/>
              </w:rPr>
              <w:t>Directorate</w:t>
            </w:r>
          </w:p>
          <w:p w:rsidR="006E6F42" w:rsidRDefault="006E6F42">
            <w:pPr>
              <w:jc w:val="both"/>
              <w:rPr>
                <w:rFonts w:cs="Arial"/>
              </w:rPr>
            </w:pPr>
          </w:p>
        </w:tc>
        <w:tc>
          <w:tcPr>
            <w:tcW w:w="4621" w:type="dxa"/>
          </w:tcPr>
          <w:p w:rsidR="006E6F42" w:rsidRDefault="006E6F42">
            <w:pPr>
              <w:jc w:val="both"/>
              <w:rPr>
                <w:rFonts w:cs="Arial"/>
              </w:rPr>
            </w:pPr>
            <w:r>
              <w:rPr>
                <w:rFonts w:cs="Arial"/>
              </w:rPr>
              <w:t>Corporate Services</w:t>
            </w:r>
          </w:p>
        </w:tc>
      </w:tr>
    </w:tbl>
    <w:p w:rsidR="006E6F42" w:rsidRDefault="006E6F42">
      <w:pPr>
        <w:rPr>
          <w:lang w:val="en-US"/>
        </w:rPr>
      </w:pPr>
    </w:p>
    <w:sectPr w:rsidR="006E6F42" w:rsidSect="00F64EF2">
      <w:pgSz w:w="11906" w:h="16838" w:code="9"/>
      <w:pgMar w:top="1644" w:right="851" w:bottom="851" w:left="1701" w:header="737"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5F6" w:rsidRDefault="00DA55F6">
      <w:r>
        <w:separator/>
      </w:r>
    </w:p>
  </w:endnote>
  <w:endnote w:type="continuationSeparator" w:id="0">
    <w:p w:rsidR="00DA55F6" w:rsidRDefault="00DA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F6" w:rsidRDefault="00DA55F6" w:rsidP="00DE4FCC">
    <w:pPr>
      <w:pStyle w:val="Footer"/>
      <w:jc w:val="center"/>
      <w:rPr>
        <w:sz w:val="16"/>
        <w:lang w:val="en-US"/>
      </w:rPr>
    </w:pPr>
    <w:r>
      <w:rPr>
        <w:b/>
        <w:bCs/>
        <w:sz w:val="16"/>
        <w:lang w:val="en-US"/>
      </w:rPr>
      <w:t>TEL</w:t>
    </w:r>
    <w:r>
      <w:rPr>
        <w:sz w:val="16"/>
        <w:lang w:val="en-US"/>
      </w:rPr>
      <w:t xml:space="preserve"> (08) 9424 2222 FAX (08) 9277 7598 EMAIL </w:t>
    </w:r>
    <w:hyperlink r:id="rId1" w:history="1">
      <w:r w:rsidRPr="00B820F6">
        <w:rPr>
          <w:rStyle w:val="Hyperlink"/>
          <w:sz w:val="16"/>
        </w:rPr>
        <w:t>mail@emrc.org.au</w:t>
      </w:r>
    </w:hyperlink>
    <w:r>
      <w:rPr>
        <w:sz w:val="16"/>
      </w:rPr>
      <w:t xml:space="preserve"> </w:t>
    </w:r>
    <w:r>
      <w:rPr>
        <w:sz w:val="16"/>
        <w:lang w:val="en-US"/>
      </w:rPr>
      <w:t xml:space="preserve">WEB </w:t>
    </w:r>
    <w:hyperlink r:id="rId2" w:history="1">
      <w:r>
        <w:rPr>
          <w:rStyle w:val="Hyperlink"/>
          <w:sz w:val="16"/>
          <w:lang w:val="en-US"/>
        </w:rPr>
        <w:t>www.emrc.org.au</w:t>
      </w:r>
    </w:hyperlink>
  </w:p>
  <w:p w:rsidR="00DA55F6" w:rsidRDefault="007170A8" w:rsidP="00DE4FCC">
    <w:pPr>
      <w:pStyle w:val="Footer"/>
      <w:jc w:val="center"/>
    </w:pPr>
    <w:r>
      <w:rPr>
        <w:sz w:val="16"/>
        <w:lang w:val="en-US"/>
      </w:rPr>
      <w:fldChar w:fldCharType="begin"/>
    </w:r>
    <w:r w:rsidR="00DA55F6">
      <w:rPr>
        <w:sz w:val="16"/>
        <w:lang w:val="en-US"/>
      </w:rPr>
      <w:instrText xml:space="preserve"> FILENAME </w:instrText>
    </w:r>
    <w:r>
      <w:rPr>
        <w:sz w:val="16"/>
        <w:lang w:val="en-US"/>
      </w:rPr>
      <w:fldChar w:fldCharType="separate"/>
    </w:r>
    <w:r w:rsidR="00E8687B">
      <w:rPr>
        <w:noProof/>
        <w:sz w:val="16"/>
        <w:lang w:val="en-US"/>
      </w:rPr>
      <w:t>Review - Policy - 1.7 Legal Representation Costs Indemnification Policy - 28 05 2018.DOCX</w:t>
    </w:r>
    <w:r>
      <w:rPr>
        <w:sz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F6" w:rsidRDefault="00DA55F6" w:rsidP="00023313">
    <w:pPr>
      <w:pStyle w:val="Footer"/>
      <w:jc w:val="center"/>
      <w:rPr>
        <w:sz w:val="16"/>
        <w:lang w:val="en-US"/>
      </w:rPr>
    </w:pPr>
    <w:r>
      <w:rPr>
        <w:b/>
        <w:bCs/>
        <w:sz w:val="16"/>
        <w:lang w:val="en-US"/>
      </w:rPr>
      <w:t>TEL</w:t>
    </w:r>
    <w:r>
      <w:rPr>
        <w:sz w:val="16"/>
        <w:lang w:val="en-US"/>
      </w:rPr>
      <w:t xml:space="preserve"> (08) 9424 2222 FAX (08) 9277 7598 EMAIL </w:t>
    </w:r>
    <w:hyperlink r:id="rId1" w:history="1">
      <w:r w:rsidRPr="00B820F6">
        <w:rPr>
          <w:rStyle w:val="Hyperlink"/>
          <w:sz w:val="16"/>
        </w:rPr>
        <w:t>mail@emrc.org.au</w:t>
      </w:r>
    </w:hyperlink>
    <w:r>
      <w:rPr>
        <w:sz w:val="16"/>
      </w:rPr>
      <w:t xml:space="preserve"> </w:t>
    </w:r>
    <w:r>
      <w:rPr>
        <w:sz w:val="16"/>
        <w:lang w:val="en-US"/>
      </w:rPr>
      <w:t xml:space="preserve">WEB </w:t>
    </w:r>
    <w:hyperlink r:id="rId2" w:history="1">
      <w:r>
        <w:rPr>
          <w:rStyle w:val="Hyperlink"/>
          <w:sz w:val="16"/>
          <w:lang w:val="en-US"/>
        </w:rPr>
        <w:t>www.emrc.org.au</w:t>
      </w:r>
    </w:hyperlink>
  </w:p>
  <w:p w:rsidR="00DA55F6" w:rsidRDefault="007170A8" w:rsidP="00023313">
    <w:pPr>
      <w:pStyle w:val="Footer"/>
      <w:jc w:val="center"/>
    </w:pPr>
    <w:r>
      <w:rPr>
        <w:sz w:val="16"/>
        <w:lang w:val="en-US"/>
      </w:rPr>
      <w:fldChar w:fldCharType="begin"/>
    </w:r>
    <w:r w:rsidR="00DA55F6">
      <w:rPr>
        <w:sz w:val="16"/>
        <w:lang w:val="en-US"/>
      </w:rPr>
      <w:instrText xml:space="preserve"> FILENAME </w:instrText>
    </w:r>
    <w:r>
      <w:rPr>
        <w:sz w:val="16"/>
        <w:lang w:val="en-US"/>
      </w:rPr>
      <w:fldChar w:fldCharType="separate"/>
    </w:r>
    <w:r w:rsidR="00E8687B">
      <w:rPr>
        <w:noProof/>
        <w:sz w:val="16"/>
        <w:lang w:val="en-US"/>
      </w:rPr>
      <w:t xml:space="preserve">Policy - 1.7 Legal Representation Costs Indemnification Policy - </w:t>
    </w:r>
    <w:r w:rsidR="00A80708">
      <w:rPr>
        <w:noProof/>
        <w:sz w:val="16"/>
        <w:lang w:val="en-US"/>
      </w:rPr>
      <w:t>06-12-</w:t>
    </w:r>
    <w:r w:rsidR="00E8687B">
      <w:rPr>
        <w:noProof/>
        <w:sz w:val="16"/>
        <w:lang w:val="en-US"/>
      </w:rPr>
      <w:t>2018.DOCX</w:t>
    </w:r>
    <w:r>
      <w:rPr>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5F6" w:rsidRDefault="00DA55F6">
      <w:r>
        <w:separator/>
      </w:r>
    </w:p>
  </w:footnote>
  <w:footnote w:type="continuationSeparator" w:id="0">
    <w:p w:rsidR="00DA55F6" w:rsidRDefault="00DA5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F6" w:rsidRDefault="009564D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85.05pt;margin-top:36.2pt;width:113.4pt;height:50.45pt;z-index:-251659264;mso-position-horizontal-relative:page;mso-position-vertical-relative:page" fillcolor="window">
          <v:imagedata r:id="rId1" o:title="EMRC Final highres logo"/>
          <w10:wrap type="topAndBottom"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F6" w:rsidRDefault="009564D1" w:rsidP="00EC2FF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76.05pt;margin-top:36.2pt;width:113.4pt;height:50.45pt;z-index:-251658240;mso-position-horizontal-relative:page;mso-position-vertical-relative:page" fillcolor="window">
          <v:imagedata r:id="rId1" o:title="EMRC Final highres logo"/>
          <w10:wrap type="topAndBottom"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02AD42"/>
    <w:lvl w:ilvl="0">
      <w:start w:val="1"/>
      <w:numFmt w:val="decimal"/>
      <w:lvlText w:val="%1."/>
      <w:lvlJc w:val="left"/>
      <w:pPr>
        <w:tabs>
          <w:tab w:val="num" w:pos="1492"/>
        </w:tabs>
        <w:ind w:left="1492" w:hanging="360"/>
      </w:pPr>
    </w:lvl>
  </w:abstractNum>
  <w:abstractNum w:abstractNumId="1">
    <w:nsid w:val="FFFFFF7D"/>
    <w:multiLevelType w:val="singleLevel"/>
    <w:tmpl w:val="92962D5C"/>
    <w:lvl w:ilvl="0">
      <w:start w:val="1"/>
      <w:numFmt w:val="decimal"/>
      <w:lvlText w:val="%1."/>
      <w:lvlJc w:val="left"/>
      <w:pPr>
        <w:tabs>
          <w:tab w:val="num" w:pos="1209"/>
        </w:tabs>
        <w:ind w:left="1209" w:hanging="360"/>
      </w:pPr>
    </w:lvl>
  </w:abstractNum>
  <w:abstractNum w:abstractNumId="2">
    <w:nsid w:val="FFFFFF7E"/>
    <w:multiLevelType w:val="singleLevel"/>
    <w:tmpl w:val="98045B56"/>
    <w:lvl w:ilvl="0">
      <w:start w:val="1"/>
      <w:numFmt w:val="decimal"/>
      <w:lvlText w:val="%1."/>
      <w:lvlJc w:val="left"/>
      <w:pPr>
        <w:tabs>
          <w:tab w:val="num" w:pos="926"/>
        </w:tabs>
        <w:ind w:left="926" w:hanging="360"/>
      </w:pPr>
    </w:lvl>
  </w:abstractNum>
  <w:abstractNum w:abstractNumId="3">
    <w:nsid w:val="FFFFFF7F"/>
    <w:multiLevelType w:val="singleLevel"/>
    <w:tmpl w:val="F75620B4"/>
    <w:lvl w:ilvl="0">
      <w:start w:val="1"/>
      <w:numFmt w:val="decimal"/>
      <w:lvlText w:val="%1."/>
      <w:lvlJc w:val="left"/>
      <w:pPr>
        <w:tabs>
          <w:tab w:val="num" w:pos="643"/>
        </w:tabs>
        <w:ind w:left="643" w:hanging="360"/>
      </w:pPr>
    </w:lvl>
  </w:abstractNum>
  <w:abstractNum w:abstractNumId="4">
    <w:nsid w:val="FFFFFF80"/>
    <w:multiLevelType w:val="singleLevel"/>
    <w:tmpl w:val="A134C2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DC78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6093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5E66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B4458A"/>
    <w:lvl w:ilvl="0">
      <w:start w:val="1"/>
      <w:numFmt w:val="decimal"/>
      <w:lvlText w:val="%1."/>
      <w:lvlJc w:val="left"/>
      <w:pPr>
        <w:tabs>
          <w:tab w:val="num" w:pos="360"/>
        </w:tabs>
        <w:ind w:left="360" w:hanging="360"/>
      </w:pPr>
    </w:lvl>
  </w:abstractNum>
  <w:abstractNum w:abstractNumId="9">
    <w:nsid w:val="FFFFFF89"/>
    <w:multiLevelType w:val="singleLevel"/>
    <w:tmpl w:val="2B6E814C"/>
    <w:lvl w:ilvl="0">
      <w:start w:val="1"/>
      <w:numFmt w:val="bullet"/>
      <w:lvlText w:val=""/>
      <w:lvlJc w:val="left"/>
      <w:pPr>
        <w:tabs>
          <w:tab w:val="num" w:pos="360"/>
        </w:tabs>
        <w:ind w:left="360" w:hanging="360"/>
      </w:pPr>
      <w:rPr>
        <w:rFonts w:ascii="Symbol" w:hAnsi="Symbol" w:hint="default"/>
      </w:rPr>
    </w:lvl>
  </w:abstractNum>
  <w:abstractNum w:abstractNumId="10">
    <w:nsid w:val="03797424"/>
    <w:multiLevelType w:val="hybridMultilevel"/>
    <w:tmpl w:val="A1CA5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BDB0CC9"/>
    <w:multiLevelType w:val="hybridMultilevel"/>
    <w:tmpl w:val="3CDC58A6"/>
    <w:lvl w:ilvl="0" w:tplc="5A9A57BC">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EF6DD9"/>
    <w:multiLevelType w:val="hybridMultilevel"/>
    <w:tmpl w:val="C7464FC6"/>
    <w:lvl w:ilvl="0" w:tplc="3A3C7140">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A014342"/>
    <w:multiLevelType w:val="multilevel"/>
    <w:tmpl w:val="58DC5158"/>
    <w:lvl w:ilvl="0">
      <w:start w:val="1"/>
      <w:numFmt w:val="decimal"/>
      <w:lvlText w:val="%1.0.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B8C7ED7"/>
    <w:multiLevelType w:val="hybridMultilevel"/>
    <w:tmpl w:val="C37ABA54"/>
    <w:lvl w:ilvl="0" w:tplc="0C09000F">
      <w:start w:val="1"/>
      <w:numFmt w:val="decimal"/>
      <w:lvlText w:val="%1."/>
      <w:lvlJc w:val="left"/>
      <w:pPr>
        <w:tabs>
          <w:tab w:val="num" w:pos="360"/>
        </w:tabs>
        <w:ind w:left="360" w:hanging="360"/>
      </w:pPr>
    </w:lvl>
    <w:lvl w:ilvl="1" w:tplc="41DE6BAA">
      <w:start w:val="1"/>
      <w:numFmt w:val="bullet"/>
      <w:lvlText w:val=""/>
      <w:lvlJc w:val="left"/>
      <w:pPr>
        <w:tabs>
          <w:tab w:val="num" w:pos="397"/>
        </w:tabs>
        <w:ind w:left="397" w:hanging="397"/>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nsid w:val="1D5E5EF9"/>
    <w:multiLevelType w:val="singleLevel"/>
    <w:tmpl w:val="99C82528"/>
    <w:lvl w:ilvl="0">
      <w:start w:val="1"/>
      <w:numFmt w:val="lowerLetter"/>
      <w:lvlText w:val="%1)"/>
      <w:lvlJc w:val="left"/>
      <w:pPr>
        <w:tabs>
          <w:tab w:val="num" w:pos="1440"/>
        </w:tabs>
        <w:ind w:left="1440" w:hanging="720"/>
      </w:pPr>
      <w:rPr>
        <w:rFonts w:hint="default"/>
      </w:rPr>
    </w:lvl>
  </w:abstractNum>
  <w:abstractNum w:abstractNumId="16">
    <w:nsid w:val="1F1A5B1D"/>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7">
    <w:nsid w:val="206C1674"/>
    <w:multiLevelType w:val="hybridMultilevel"/>
    <w:tmpl w:val="B6F0A0B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225F5E83"/>
    <w:multiLevelType w:val="hybridMultilevel"/>
    <w:tmpl w:val="2B8E58D6"/>
    <w:lvl w:ilvl="0" w:tplc="6DCA6AD8">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70B46D1"/>
    <w:multiLevelType w:val="singleLevel"/>
    <w:tmpl w:val="19CE35E4"/>
    <w:lvl w:ilvl="0">
      <w:start w:val="3"/>
      <w:numFmt w:val="lowerLetter"/>
      <w:lvlText w:val="%1)"/>
      <w:lvlJc w:val="left"/>
      <w:pPr>
        <w:tabs>
          <w:tab w:val="num" w:pos="1440"/>
        </w:tabs>
        <w:ind w:left="1440" w:hanging="720"/>
      </w:pPr>
      <w:rPr>
        <w:rFonts w:hint="default"/>
      </w:rPr>
    </w:lvl>
  </w:abstractNum>
  <w:abstractNum w:abstractNumId="20">
    <w:nsid w:val="4AF974CF"/>
    <w:multiLevelType w:val="hybridMultilevel"/>
    <w:tmpl w:val="B6B6E970"/>
    <w:lvl w:ilvl="0" w:tplc="B8588826">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90F6A4D"/>
    <w:multiLevelType w:val="hybridMultilevel"/>
    <w:tmpl w:val="A8B0011A"/>
    <w:lvl w:ilvl="0" w:tplc="3F54052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D0169A"/>
    <w:multiLevelType w:val="hybridMultilevel"/>
    <w:tmpl w:val="73E8083C"/>
    <w:lvl w:ilvl="0" w:tplc="47BED196">
      <w:start w:val="1"/>
      <w:numFmt w:val="decimal"/>
      <w:lvlText w:val="%1."/>
      <w:lvlJc w:val="left"/>
      <w:pPr>
        <w:tabs>
          <w:tab w:val="num" w:pos="397"/>
        </w:tabs>
        <w:ind w:left="397" w:hanging="397"/>
      </w:pPr>
      <w:rPr>
        <w:rFonts w:hint="default"/>
      </w:rPr>
    </w:lvl>
    <w:lvl w:ilvl="1" w:tplc="EC44A19C">
      <w:start w:val="1"/>
      <w:numFmt w:val="lowerRoman"/>
      <w:lvlText w:val="%2)"/>
      <w:lvlJc w:val="left"/>
      <w:pPr>
        <w:tabs>
          <w:tab w:val="num" w:pos="2007"/>
        </w:tabs>
        <w:ind w:left="200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B80CA0"/>
    <w:multiLevelType w:val="singleLevel"/>
    <w:tmpl w:val="F0A211CA"/>
    <w:lvl w:ilvl="0">
      <w:start w:val="1"/>
      <w:numFmt w:val="lowerLetter"/>
      <w:lvlText w:val="%1)"/>
      <w:lvlJc w:val="left"/>
      <w:pPr>
        <w:tabs>
          <w:tab w:val="num" w:pos="1440"/>
        </w:tabs>
        <w:ind w:left="1440" w:hanging="720"/>
      </w:pPr>
      <w:rPr>
        <w:rFont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4"/>
  </w:num>
  <w:num w:numId="14">
    <w:abstractNumId w:val="21"/>
  </w:num>
  <w:num w:numId="15">
    <w:abstractNumId w:val="15"/>
  </w:num>
  <w:num w:numId="16">
    <w:abstractNumId w:val="19"/>
  </w:num>
  <w:num w:numId="17">
    <w:abstractNumId w:val="23"/>
  </w:num>
  <w:num w:numId="18">
    <w:abstractNumId w:val="22"/>
  </w:num>
  <w:num w:numId="19">
    <w:abstractNumId w:val="10"/>
  </w:num>
  <w:num w:numId="20">
    <w:abstractNumId w:val="16"/>
  </w:num>
  <w:num w:numId="21">
    <w:abstractNumId w:val="11"/>
  </w:num>
  <w:num w:numId="22">
    <w:abstractNumId w:val="18"/>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6F42"/>
    <w:rsid w:val="00023313"/>
    <w:rsid w:val="0003243A"/>
    <w:rsid w:val="000C179F"/>
    <w:rsid w:val="00117B70"/>
    <w:rsid w:val="001252CD"/>
    <w:rsid w:val="00133260"/>
    <w:rsid w:val="00142104"/>
    <w:rsid w:val="001754E5"/>
    <w:rsid w:val="001D75AF"/>
    <w:rsid w:val="001F1D93"/>
    <w:rsid w:val="00200A0B"/>
    <w:rsid w:val="0021327A"/>
    <w:rsid w:val="00214218"/>
    <w:rsid w:val="0024315F"/>
    <w:rsid w:val="00282324"/>
    <w:rsid w:val="00285C53"/>
    <w:rsid w:val="00294192"/>
    <w:rsid w:val="00296224"/>
    <w:rsid w:val="002B4603"/>
    <w:rsid w:val="002D6753"/>
    <w:rsid w:val="002F789A"/>
    <w:rsid w:val="00305AE4"/>
    <w:rsid w:val="003079A4"/>
    <w:rsid w:val="003A58B8"/>
    <w:rsid w:val="003B6C84"/>
    <w:rsid w:val="003D02F4"/>
    <w:rsid w:val="00442495"/>
    <w:rsid w:val="0045724E"/>
    <w:rsid w:val="00462DD5"/>
    <w:rsid w:val="004676E4"/>
    <w:rsid w:val="00486E75"/>
    <w:rsid w:val="004A6A98"/>
    <w:rsid w:val="004E6229"/>
    <w:rsid w:val="0052113B"/>
    <w:rsid w:val="00546593"/>
    <w:rsid w:val="00557FD5"/>
    <w:rsid w:val="00562474"/>
    <w:rsid w:val="00572E93"/>
    <w:rsid w:val="005845ED"/>
    <w:rsid w:val="005A1831"/>
    <w:rsid w:val="005A62D4"/>
    <w:rsid w:val="005A6939"/>
    <w:rsid w:val="005F6EAD"/>
    <w:rsid w:val="00644FD4"/>
    <w:rsid w:val="006B53EB"/>
    <w:rsid w:val="006E6F42"/>
    <w:rsid w:val="006F4C26"/>
    <w:rsid w:val="00712287"/>
    <w:rsid w:val="007170A8"/>
    <w:rsid w:val="00722BDB"/>
    <w:rsid w:val="007A3714"/>
    <w:rsid w:val="007E7A61"/>
    <w:rsid w:val="007F4AD0"/>
    <w:rsid w:val="008017F2"/>
    <w:rsid w:val="008604FC"/>
    <w:rsid w:val="008B2CCD"/>
    <w:rsid w:val="00936597"/>
    <w:rsid w:val="00941737"/>
    <w:rsid w:val="009564D1"/>
    <w:rsid w:val="009C6E27"/>
    <w:rsid w:val="009D2CA8"/>
    <w:rsid w:val="00A64387"/>
    <w:rsid w:val="00A6720C"/>
    <w:rsid w:val="00A80708"/>
    <w:rsid w:val="00A83892"/>
    <w:rsid w:val="00AC7629"/>
    <w:rsid w:val="00B2116C"/>
    <w:rsid w:val="00B91476"/>
    <w:rsid w:val="00BE3142"/>
    <w:rsid w:val="00BF21BD"/>
    <w:rsid w:val="00D07A61"/>
    <w:rsid w:val="00DA55F6"/>
    <w:rsid w:val="00DB158F"/>
    <w:rsid w:val="00DE4FCC"/>
    <w:rsid w:val="00E0316F"/>
    <w:rsid w:val="00E36D36"/>
    <w:rsid w:val="00E8687B"/>
    <w:rsid w:val="00EC2FFA"/>
    <w:rsid w:val="00F44B2B"/>
    <w:rsid w:val="00F64EF2"/>
    <w:rsid w:val="00F81A9D"/>
    <w:rsid w:val="00F84B8A"/>
    <w:rsid w:val="00FC3D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D93"/>
    <w:rPr>
      <w:rFonts w:ascii="Arial" w:hAnsi="Arial"/>
      <w:lang w:eastAsia="en-US"/>
    </w:rPr>
  </w:style>
  <w:style w:type="paragraph" w:styleId="Heading1">
    <w:name w:val="heading 1"/>
    <w:basedOn w:val="Normal"/>
    <w:next w:val="Normal"/>
    <w:qFormat/>
    <w:rsid w:val="001F1D93"/>
    <w:pPr>
      <w:keepNext/>
      <w:spacing w:before="600" w:after="340"/>
      <w:outlineLvl w:val="0"/>
    </w:pPr>
    <w:rPr>
      <w:color w:val="AF8F00"/>
      <w:kern w:val="28"/>
      <w:sz w:val="28"/>
      <w:szCs w:val="28"/>
      <w:lang w:val="en-US"/>
    </w:rPr>
  </w:style>
  <w:style w:type="paragraph" w:styleId="Heading2">
    <w:name w:val="heading 2"/>
    <w:basedOn w:val="Normal"/>
    <w:next w:val="Normal"/>
    <w:qFormat/>
    <w:rsid w:val="001F1D93"/>
    <w:pPr>
      <w:keepNext/>
      <w:spacing w:before="280" w:after="280"/>
      <w:outlineLvl w:val="1"/>
    </w:pPr>
    <w:rPr>
      <w:sz w:val="28"/>
    </w:rPr>
  </w:style>
  <w:style w:type="paragraph" w:styleId="Heading3">
    <w:name w:val="heading 3"/>
    <w:basedOn w:val="Normal"/>
    <w:next w:val="Normal"/>
    <w:qFormat/>
    <w:rsid w:val="001F1D93"/>
    <w:pPr>
      <w:keepNext/>
      <w:numPr>
        <w:ilvl w:val="2"/>
        <w:numId w:val="1"/>
      </w:numPr>
      <w:spacing w:after="120" w:line="360" w:lineRule="auto"/>
      <w:jc w:val="both"/>
      <w:outlineLvl w:val="2"/>
    </w:pPr>
    <w:rPr>
      <w:b/>
      <w:sz w:val="24"/>
      <w:lang w:val="en-US"/>
    </w:rPr>
  </w:style>
  <w:style w:type="paragraph" w:styleId="Heading6">
    <w:name w:val="heading 6"/>
    <w:basedOn w:val="Normal"/>
    <w:next w:val="Normal"/>
    <w:qFormat/>
    <w:rsid w:val="001F1D93"/>
    <w:pPr>
      <w:keepNext/>
      <w:jc w:val="both"/>
      <w:outlineLvl w:val="5"/>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F1D93"/>
    <w:pPr>
      <w:outlineLvl w:val="0"/>
    </w:pPr>
    <w:rPr>
      <w:color w:val="000000"/>
      <w:kern w:val="28"/>
      <w:sz w:val="44"/>
    </w:rPr>
  </w:style>
  <w:style w:type="paragraph" w:styleId="Header">
    <w:name w:val="header"/>
    <w:basedOn w:val="Normal"/>
    <w:rsid w:val="001F1D93"/>
    <w:pPr>
      <w:tabs>
        <w:tab w:val="center" w:pos="4153"/>
        <w:tab w:val="right" w:pos="8306"/>
      </w:tabs>
    </w:pPr>
  </w:style>
  <w:style w:type="paragraph" w:styleId="Footer">
    <w:name w:val="footer"/>
    <w:basedOn w:val="Normal"/>
    <w:rsid w:val="001F1D93"/>
    <w:pPr>
      <w:tabs>
        <w:tab w:val="center" w:pos="4153"/>
        <w:tab w:val="right" w:pos="8306"/>
      </w:tabs>
      <w:spacing w:after="120"/>
      <w:ind w:left="567"/>
    </w:pPr>
  </w:style>
  <w:style w:type="character" w:styleId="Hyperlink">
    <w:name w:val="Hyperlink"/>
    <w:basedOn w:val="DefaultParagraphFont"/>
    <w:rsid w:val="001F1D93"/>
    <w:rPr>
      <w:color w:val="0000FF"/>
      <w:u w:val="single"/>
    </w:rPr>
  </w:style>
  <w:style w:type="paragraph" w:styleId="BodyText">
    <w:name w:val="Body Text"/>
    <w:basedOn w:val="Normal"/>
    <w:rsid w:val="001F1D93"/>
    <w:pPr>
      <w:jc w:val="both"/>
    </w:pPr>
    <w:rPr>
      <w:rFonts w:ascii="Times New Roman" w:hAnsi="Times New Roman"/>
      <w:sz w:val="24"/>
    </w:rPr>
  </w:style>
  <w:style w:type="paragraph" w:styleId="FootnoteText">
    <w:name w:val="footnote text"/>
    <w:basedOn w:val="Normal"/>
    <w:semiHidden/>
    <w:rsid w:val="001F1D93"/>
    <w:pPr>
      <w:ind w:left="567"/>
    </w:pPr>
    <w:rPr>
      <w:sz w:val="16"/>
    </w:rPr>
  </w:style>
  <w:style w:type="paragraph" w:customStyle="1" w:styleId="Pol2">
    <w:name w:val="Pol 2"/>
    <w:basedOn w:val="Normal"/>
    <w:rsid w:val="001F1D93"/>
    <w:pPr>
      <w:jc w:val="both"/>
    </w:pPr>
    <w:rPr>
      <w:rFonts w:ascii="Arial Rounded MT Bold" w:eastAsia="MS Mincho" w:hAnsi="Arial Rounded MT Bold"/>
      <w:sz w:val="24"/>
      <w:szCs w:val="24"/>
      <w:lang w:eastAsia="ja-JP"/>
    </w:rPr>
  </w:style>
  <w:style w:type="paragraph" w:customStyle="1" w:styleId="Bod1">
    <w:name w:val="Bod 1"/>
    <w:basedOn w:val="Normal"/>
    <w:rsid w:val="001F1D93"/>
    <w:pPr>
      <w:jc w:val="both"/>
    </w:pPr>
    <w:rPr>
      <w:rFonts w:ascii="Times New Roman" w:eastAsia="MS Mincho" w:hAnsi="Times New Roman"/>
      <w:sz w:val="24"/>
      <w:szCs w:val="24"/>
      <w:lang w:eastAsia="ja-JP"/>
    </w:rPr>
  </w:style>
  <w:style w:type="paragraph" w:styleId="BodyTextIndent">
    <w:name w:val="Body Text Indent"/>
    <w:basedOn w:val="Normal"/>
    <w:rsid w:val="001F1D93"/>
    <w:pPr>
      <w:ind w:left="743" w:hanging="743"/>
      <w:jc w:val="both"/>
    </w:pPr>
    <w:rPr>
      <w:rFonts w:ascii="Times New Roman" w:hAnsi="Times New Roman"/>
      <w:b/>
      <w:caps/>
    </w:rPr>
  </w:style>
  <w:style w:type="paragraph" w:styleId="BodyTextIndent2">
    <w:name w:val="Body Text Indent 2"/>
    <w:basedOn w:val="Normal"/>
    <w:rsid w:val="001F1D93"/>
    <w:pPr>
      <w:ind w:left="1440" w:hanging="720"/>
    </w:pPr>
    <w:rPr>
      <w:rFonts w:ascii="Times New Roman" w:hAnsi="Times New Roman"/>
    </w:rPr>
  </w:style>
  <w:style w:type="paragraph" w:styleId="BodyTextIndent3">
    <w:name w:val="Body Text Indent 3"/>
    <w:basedOn w:val="Normal"/>
    <w:rsid w:val="001F1D93"/>
    <w:pPr>
      <w:ind w:left="720"/>
    </w:pPr>
    <w:rPr>
      <w:rFonts w:ascii="Times New Roman" w:hAnsi="Times New Roman"/>
    </w:rPr>
  </w:style>
  <w:style w:type="paragraph" w:customStyle="1" w:styleId="SUB1">
    <w:name w:val="SUB 1"/>
    <w:basedOn w:val="Normal"/>
    <w:rsid w:val="001F1D93"/>
    <w:pPr>
      <w:jc w:val="both"/>
    </w:pPr>
    <w:rPr>
      <w:rFonts w:ascii="Arial Rounded MT Bold" w:eastAsia="MS Mincho" w:hAnsi="Arial Rounded MT Bold"/>
      <w:szCs w:val="24"/>
      <w:lang w:eastAsia="ja-JP"/>
    </w:rPr>
  </w:style>
  <w:style w:type="paragraph" w:styleId="BalloonText">
    <w:name w:val="Balloon Text"/>
    <w:basedOn w:val="Normal"/>
    <w:semiHidden/>
    <w:rsid w:val="00521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mrc.org.au" TargetMode="External"/><Relationship Id="rId1" Type="http://schemas.openxmlformats.org/officeDocument/2006/relationships/hyperlink" Target="mailto:mail@emrc.org.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mrc.org.au" TargetMode="External"/><Relationship Id="rId1" Type="http://schemas.openxmlformats.org/officeDocument/2006/relationships/hyperlink" Target="mailto:mail@emrc.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marieM\Local%20Settings\Temporary%20Internet%20Files\OLK14\corporate_services_factsheet_multiple_pages_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corporate_services_factsheet_multiple_pages_p1.dot</Template>
  <TotalTime>61</TotalTime>
  <Pages>3</Pages>
  <Words>945</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dfgdfg</vt:lpstr>
    </vt:vector>
  </TitlesOfParts>
  <Company>At Home</Company>
  <LinksUpToDate>false</LinksUpToDate>
  <CharactersWithSpaces>5781</CharactersWithSpaces>
  <SharedDoc>false</SharedDoc>
  <HLinks>
    <vt:vector size="24" baseType="variant">
      <vt:variant>
        <vt:i4>3866679</vt:i4>
      </vt:variant>
      <vt:variant>
        <vt:i4>12</vt:i4>
      </vt:variant>
      <vt:variant>
        <vt:i4>0</vt:i4>
      </vt:variant>
      <vt:variant>
        <vt:i4>5</vt:i4>
      </vt:variant>
      <vt:variant>
        <vt:lpwstr>http://www.emrc.org.au/</vt:lpwstr>
      </vt:variant>
      <vt:variant>
        <vt:lpwstr/>
      </vt:variant>
      <vt:variant>
        <vt:i4>4259874</vt:i4>
      </vt:variant>
      <vt:variant>
        <vt:i4>9</vt:i4>
      </vt:variant>
      <vt:variant>
        <vt:i4>0</vt:i4>
      </vt:variant>
      <vt:variant>
        <vt:i4>5</vt:i4>
      </vt:variant>
      <vt:variant>
        <vt:lpwstr>mailto:mail@emrc.org.au</vt:lpwstr>
      </vt:variant>
      <vt:variant>
        <vt:lpwstr/>
      </vt:variant>
      <vt:variant>
        <vt:i4>3866679</vt:i4>
      </vt:variant>
      <vt:variant>
        <vt:i4>3</vt:i4>
      </vt:variant>
      <vt:variant>
        <vt:i4>0</vt:i4>
      </vt:variant>
      <vt:variant>
        <vt:i4>5</vt:i4>
      </vt:variant>
      <vt:variant>
        <vt:lpwstr>http://www.emrc.org.au/</vt:lpwstr>
      </vt:variant>
      <vt:variant>
        <vt:lpwstr/>
      </vt:variant>
      <vt:variant>
        <vt:i4>4259874</vt:i4>
      </vt:variant>
      <vt:variant>
        <vt:i4>0</vt:i4>
      </vt:variant>
      <vt:variant>
        <vt:i4>0</vt:i4>
      </vt:variant>
      <vt:variant>
        <vt:i4>5</vt:i4>
      </vt:variant>
      <vt:variant>
        <vt:lpwstr>mailto:mail@emrc.org.au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dfgdfg</dc:title>
  <dc:subject/>
  <dc:creator>EMRC</dc:creator>
  <cp:keywords/>
  <cp:lastModifiedBy>Annie Hughes-d'Aeth</cp:lastModifiedBy>
  <cp:revision>10</cp:revision>
  <cp:lastPrinted>2018-07-09T02:13:00Z</cp:lastPrinted>
  <dcterms:created xsi:type="dcterms:W3CDTF">2018-05-28T06:21:00Z</dcterms:created>
  <dcterms:modified xsi:type="dcterms:W3CDTF">2019-01-03T08:35:00Z</dcterms:modified>
</cp:coreProperties>
</file>