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D" w:rsidRDefault="008C345D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8C345D" w:rsidRDefault="008C345D">
      <w:pPr>
        <w:rPr>
          <w:lang w:val="en-US"/>
        </w:rPr>
      </w:pPr>
    </w:p>
    <w:p w:rsidR="006074A8" w:rsidRPr="00F1185A" w:rsidRDefault="006E0C06" w:rsidP="00DE009F">
      <w:pPr>
        <w:pStyle w:val="Heading2"/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1.9</w:t>
      </w:r>
      <w:r w:rsidR="00DE009F">
        <w:rPr>
          <w:b/>
          <w:sz w:val="44"/>
          <w:szCs w:val="44"/>
        </w:rPr>
        <w:tab/>
      </w:r>
      <w:r w:rsidR="00DE009F">
        <w:rPr>
          <w:b/>
          <w:sz w:val="44"/>
          <w:szCs w:val="44"/>
        </w:rPr>
        <w:tab/>
      </w:r>
      <w:r w:rsidR="00E43E68" w:rsidRPr="00F1185A">
        <w:rPr>
          <w:b/>
          <w:sz w:val="44"/>
          <w:szCs w:val="44"/>
        </w:rPr>
        <w:t xml:space="preserve">Recognition of Members of Council </w:t>
      </w:r>
      <w:r w:rsidR="00DE009F">
        <w:rPr>
          <w:b/>
          <w:sz w:val="44"/>
          <w:szCs w:val="44"/>
        </w:rPr>
        <w:tab/>
      </w:r>
      <w:r w:rsidR="00DE009F">
        <w:rPr>
          <w:b/>
          <w:sz w:val="44"/>
          <w:szCs w:val="44"/>
        </w:rPr>
        <w:tab/>
      </w:r>
      <w:r w:rsidR="00E43E68" w:rsidRPr="00F1185A">
        <w:rPr>
          <w:b/>
          <w:sz w:val="44"/>
          <w:szCs w:val="44"/>
        </w:rPr>
        <w:t>Policy</w:t>
      </w:r>
    </w:p>
    <w:p w:rsidR="008C345D" w:rsidRPr="00F1185A" w:rsidRDefault="008C345D" w:rsidP="00DE009F">
      <w:pPr>
        <w:pStyle w:val="Heading1"/>
        <w:spacing w:before="960"/>
        <w:rPr>
          <w:b/>
          <w:color w:val="B08E00"/>
        </w:rPr>
      </w:pPr>
      <w:r w:rsidRPr="00F1185A">
        <w:rPr>
          <w:b/>
          <w:color w:val="B08E00"/>
        </w:rPr>
        <w:t xml:space="preserve">STRATEGIC PLAN OBJECTIVE </w:t>
      </w:r>
    </w:p>
    <w:p w:rsidR="008C345D" w:rsidRDefault="00DE009F" w:rsidP="00EC1855">
      <w:pPr>
        <w:spacing w:before="60" w:after="60"/>
      </w:pPr>
      <w:r>
        <w:t>3</w:t>
      </w:r>
      <w:r w:rsidR="00EC3C35">
        <w:t>.2</w:t>
      </w:r>
      <w:r w:rsidR="00EC1855">
        <w:t xml:space="preserve"> To manage partnerships and relationships</w:t>
      </w:r>
      <w:r w:rsidR="0008053A">
        <w:t xml:space="preserve"> with stakeholders.</w:t>
      </w:r>
    </w:p>
    <w:p w:rsidR="008C345D" w:rsidRPr="00F1185A" w:rsidRDefault="008C345D">
      <w:pPr>
        <w:pStyle w:val="Heading1"/>
        <w:rPr>
          <w:b/>
          <w:color w:val="AF8F00"/>
        </w:rPr>
      </w:pPr>
      <w:r w:rsidRPr="00F1185A">
        <w:rPr>
          <w:b/>
          <w:color w:val="B08E00"/>
        </w:rPr>
        <w:t>PURPOSE</w:t>
      </w:r>
    </w:p>
    <w:p w:rsidR="008C345D" w:rsidRDefault="000E1A1B" w:rsidP="000775A7">
      <w:pPr>
        <w:jc w:val="both"/>
      </w:pPr>
      <w:r>
        <w:t xml:space="preserve">To establish </w:t>
      </w:r>
      <w:r w:rsidR="009C623A">
        <w:t xml:space="preserve">a </w:t>
      </w:r>
      <w:r>
        <w:t xml:space="preserve">policy and </w:t>
      </w:r>
      <w:r w:rsidR="009C623A">
        <w:t xml:space="preserve">provide </w:t>
      </w:r>
      <w:r>
        <w:t xml:space="preserve">guidelines for recognising the </w:t>
      </w:r>
      <w:r w:rsidR="009C623A">
        <w:t>service t</w:t>
      </w:r>
      <w:r w:rsidR="00D829E7">
        <w:t xml:space="preserve">hat is given to the </w:t>
      </w:r>
      <w:r w:rsidR="004A174B">
        <w:t xml:space="preserve">region </w:t>
      </w:r>
      <w:r w:rsidR="00D829E7">
        <w:t>by</w:t>
      </w:r>
      <w:r>
        <w:t xml:space="preserve"> members of the Council</w:t>
      </w:r>
      <w:r w:rsidR="001C7556">
        <w:t>.</w:t>
      </w:r>
    </w:p>
    <w:p w:rsidR="00621926" w:rsidRPr="00F1185A" w:rsidRDefault="00621926">
      <w:pPr>
        <w:pStyle w:val="Heading1"/>
        <w:tabs>
          <w:tab w:val="left" w:pos="851"/>
        </w:tabs>
        <w:rPr>
          <w:b/>
          <w:color w:val="B08E00"/>
        </w:rPr>
      </w:pPr>
      <w:r w:rsidRPr="00F1185A">
        <w:rPr>
          <w:b/>
          <w:color w:val="B08E00"/>
        </w:rPr>
        <w:t>LEGISLATION</w:t>
      </w:r>
    </w:p>
    <w:p w:rsidR="00C61538" w:rsidRPr="00331AFD" w:rsidRDefault="002E7CE1" w:rsidP="00623480">
      <w:pPr>
        <w:jc w:val="both"/>
        <w:rPr>
          <w:i/>
          <w:lang w:val="en-US"/>
        </w:rPr>
      </w:pPr>
      <w:r w:rsidRPr="00331AFD">
        <w:rPr>
          <w:i/>
          <w:lang w:val="en-US"/>
        </w:rPr>
        <w:t>Local Government Act 1995 s5.98(6)</w:t>
      </w:r>
    </w:p>
    <w:p w:rsidR="008C345D" w:rsidRPr="00F1185A" w:rsidRDefault="008C345D">
      <w:pPr>
        <w:pStyle w:val="Heading1"/>
        <w:tabs>
          <w:tab w:val="left" w:pos="851"/>
        </w:tabs>
        <w:rPr>
          <w:b/>
          <w:color w:val="B08E00"/>
        </w:rPr>
      </w:pPr>
      <w:r w:rsidRPr="00F1185A">
        <w:rPr>
          <w:b/>
          <w:color w:val="B08E00"/>
        </w:rPr>
        <w:t>POLICY STATEMENT</w:t>
      </w:r>
    </w:p>
    <w:p w:rsidR="00A45A8B" w:rsidRPr="000775A7" w:rsidRDefault="00A45A8B" w:rsidP="000775A7">
      <w:pPr>
        <w:jc w:val="both"/>
      </w:pPr>
      <w:r w:rsidRPr="000775A7">
        <w:t>Council shall recognise the service</w:t>
      </w:r>
      <w:r w:rsidR="000E1A1B" w:rsidRPr="000775A7">
        <w:t xml:space="preserve"> of members of the Council</w:t>
      </w:r>
      <w:r w:rsidR="00E22136" w:rsidRPr="000775A7">
        <w:t xml:space="preserve"> </w:t>
      </w:r>
      <w:r w:rsidR="000C27D7">
        <w:t>who no longer hold</w:t>
      </w:r>
      <w:r w:rsidRPr="000775A7">
        <w:t xml:space="preserve"> office of the EMRC in accordance with clause 7.2</w:t>
      </w:r>
      <w:r w:rsidR="00C3287C" w:rsidRPr="000775A7">
        <w:t xml:space="preserve">(1) </w:t>
      </w:r>
      <w:r w:rsidRPr="000775A7">
        <w:t>(b) and (c) of the Establishment Agreement of the Eastern Metropolitan Regional Council.</w:t>
      </w:r>
    </w:p>
    <w:p w:rsidR="00A45A8B" w:rsidRPr="000775A7" w:rsidRDefault="00A45A8B" w:rsidP="000775A7">
      <w:pPr>
        <w:jc w:val="both"/>
      </w:pPr>
    </w:p>
    <w:p w:rsidR="00A45A8B" w:rsidRPr="000775A7" w:rsidRDefault="00A45A8B" w:rsidP="000775A7">
      <w:pPr>
        <w:jc w:val="both"/>
      </w:pPr>
      <w:r w:rsidRPr="000775A7">
        <w:t>Recognition will be subject to the member not becoming disqualified from holding office of the EMRC</w:t>
      </w:r>
      <w:r w:rsidR="000C27D7">
        <w:t xml:space="preserve"> </w:t>
      </w:r>
      <w:r w:rsidR="00B210CA">
        <w:t>or participant</w:t>
      </w:r>
      <w:r w:rsidRPr="000775A7">
        <w:t xml:space="preserve"> Council as a result of</w:t>
      </w:r>
      <w:r w:rsidR="000C27D7">
        <w:t xml:space="preserve"> an offence under the</w:t>
      </w:r>
      <w:r w:rsidRPr="000775A7">
        <w:t xml:space="preserve"> Local Government Act 1995</w:t>
      </w:r>
      <w:r w:rsidR="000C27D7">
        <w:t xml:space="preserve"> or any other law</w:t>
      </w:r>
      <w:r w:rsidRPr="000775A7">
        <w:t>.</w:t>
      </w:r>
    </w:p>
    <w:p w:rsidR="00A45A8B" w:rsidRPr="000775A7" w:rsidRDefault="00A45A8B" w:rsidP="000775A7">
      <w:pPr>
        <w:jc w:val="both"/>
      </w:pPr>
    </w:p>
    <w:p w:rsidR="00A45A8B" w:rsidRDefault="009C623A" w:rsidP="00B210CA">
      <w:pPr>
        <w:jc w:val="both"/>
      </w:pPr>
      <w:r w:rsidRPr="000775A7">
        <w:t>T</w:t>
      </w:r>
      <w:r w:rsidR="000E1A1B" w:rsidRPr="000775A7">
        <w:t xml:space="preserve">he </w:t>
      </w:r>
      <w:r w:rsidRPr="000775A7">
        <w:t xml:space="preserve">following </w:t>
      </w:r>
      <w:r w:rsidR="000E1A1B" w:rsidRPr="000775A7">
        <w:t>awards</w:t>
      </w:r>
      <w:r w:rsidR="00A45A8B" w:rsidRPr="000775A7">
        <w:t xml:space="preserve"> </w:t>
      </w:r>
      <w:r w:rsidR="00D829E7">
        <w:t>shall</w:t>
      </w:r>
      <w:r w:rsidR="00A45A8B" w:rsidRPr="000775A7">
        <w:t xml:space="preserve"> be made to recognis</w:t>
      </w:r>
      <w:r w:rsidRPr="000775A7">
        <w:t>e such service</w:t>
      </w:r>
      <w:r w:rsidR="000E1A1B" w:rsidRPr="000775A7">
        <w:t>:-</w:t>
      </w:r>
    </w:p>
    <w:p w:rsidR="00B210CA" w:rsidRDefault="00B210CA" w:rsidP="00B210CA">
      <w:pPr>
        <w:jc w:val="both"/>
        <w:rPr>
          <w:lang w:val="en-US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761"/>
      </w:tblGrid>
      <w:tr w:rsidR="000775A7" w:rsidRPr="00D829E7" w:rsidTr="0055631C">
        <w:trPr>
          <w:trHeight w:val="255"/>
        </w:trPr>
        <w:tc>
          <w:tcPr>
            <w:tcW w:w="4063" w:type="dxa"/>
            <w:shd w:val="clear" w:color="auto" w:fill="auto"/>
            <w:noWrap/>
            <w:vAlign w:val="bottom"/>
          </w:tcPr>
          <w:p w:rsidR="000775A7" w:rsidRPr="00D829E7" w:rsidRDefault="000775A7" w:rsidP="00E651A6">
            <w:pPr>
              <w:numPr>
                <w:ilvl w:val="0"/>
                <w:numId w:val="23"/>
              </w:numPr>
              <w:tabs>
                <w:tab w:val="clear" w:pos="361"/>
                <w:tab w:val="num" w:pos="176"/>
              </w:tabs>
              <w:ind w:left="176" w:hanging="176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During and on completing one 2-year term</w:t>
            </w:r>
          </w:p>
        </w:tc>
        <w:tc>
          <w:tcPr>
            <w:tcW w:w="5761" w:type="dxa"/>
            <w:shd w:val="clear" w:color="auto" w:fill="auto"/>
            <w:noWrap/>
            <w:vAlign w:val="bottom"/>
          </w:tcPr>
          <w:p w:rsidR="000775A7" w:rsidRPr="00D829E7" w:rsidRDefault="000775A7" w:rsidP="00FA7274">
            <w:pPr>
              <w:jc w:val="both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A framed certificate of appreciation</w:t>
            </w:r>
          </w:p>
        </w:tc>
      </w:tr>
      <w:tr w:rsidR="000775A7" w:rsidRPr="00D829E7" w:rsidTr="0055631C">
        <w:trPr>
          <w:trHeight w:val="255"/>
        </w:trPr>
        <w:tc>
          <w:tcPr>
            <w:tcW w:w="4063" w:type="dxa"/>
            <w:shd w:val="clear" w:color="auto" w:fill="auto"/>
            <w:noWrap/>
            <w:vAlign w:val="bottom"/>
          </w:tcPr>
          <w:p w:rsidR="000775A7" w:rsidRPr="00D829E7" w:rsidRDefault="000775A7" w:rsidP="00E651A6">
            <w:pPr>
              <w:numPr>
                <w:ilvl w:val="0"/>
                <w:numId w:val="23"/>
              </w:numPr>
              <w:tabs>
                <w:tab w:val="clear" w:pos="361"/>
                <w:tab w:val="num" w:pos="176"/>
              </w:tabs>
              <w:ind w:left="176" w:hanging="176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On completing two 2-year terms</w:t>
            </w:r>
          </w:p>
        </w:tc>
        <w:tc>
          <w:tcPr>
            <w:tcW w:w="5761" w:type="dxa"/>
            <w:shd w:val="clear" w:color="auto" w:fill="auto"/>
            <w:noWrap/>
            <w:vAlign w:val="bottom"/>
          </w:tcPr>
          <w:p w:rsidR="000775A7" w:rsidRPr="00D829E7" w:rsidRDefault="000775A7" w:rsidP="00FA7274">
            <w:pPr>
              <w:jc w:val="both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A framed certificate of appreciation and a gift to the value of $100</w:t>
            </w:r>
          </w:p>
        </w:tc>
      </w:tr>
      <w:tr w:rsidR="000775A7" w:rsidRPr="00D829E7" w:rsidTr="0055631C">
        <w:trPr>
          <w:trHeight w:val="255"/>
        </w:trPr>
        <w:tc>
          <w:tcPr>
            <w:tcW w:w="4063" w:type="dxa"/>
            <w:shd w:val="clear" w:color="auto" w:fill="auto"/>
            <w:noWrap/>
            <w:vAlign w:val="bottom"/>
          </w:tcPr>
          <w:p w:rsidR="000775A7" w:rsidRPr="00D829E7" w:rsidRDefault="000775A7" w:rsidP="00E651A6">
            <w:pPr>
              <w:numPr>
                <w:ilvl w:val="0"/>
                <w:numId w:val="23"/>
              </w:numPr>
              <w:tabs>
                <w:tab w:val="clear" w:pos="361"/>
                <w:tab w:val="num" w:pos="176"/>
              </w:tabs>
              <w:ind w:left="176" w:hanging="176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On completing three 2-year terms</w:t>
            </w:r>
          </w:p>
        </w:tc>
        <w:tc>
          <w:tcPr>
            <w:tcW w:w="5761" w:type="dxa"/>
            <w:shd w:val="clear" w:color="auto" w:fill="auto"/>
            <w:noWrap/>
            <w:vAlign w:val="bottom"/>
          </w:tcPr>
          <w:p w:rsidR="000775A7" w:rsidRPr="00D829E7" w:rsidRDefault="000775A7" w:rsidP="00FA7274">
            <w:pPr>
              <w:ind w:left="567" w:hanging="567"/>
              <w:jc w:val="both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A framed certificate of appreciation and a gift to the value of $200</w:t>
            </w:r>
          </w:p>
        </w:tc>
      </w:tr>
      <w:tr w:rsidR="000775A7" w:rsidRPr="00D829E7" w:rsidTr="0055631C">
        <w:trPr>
          <w:trHeight w:val="255"/>
        </w:trPr>
        <w:tc>
          <w:tcPr>
            <w:tcW w:w="4063" w:type="dxa"/>
            <w:shd w:val="clear" w:color="auto" w:fill="auto"/>
            <w:noWrap/>
            <w:vAlign w:val="bottom"/>
          </w:tcPr>
          <w:p w:rsidR="000775A7" w:rsidRPr="00D829E7" w:rsidRDefault="000775A7" w:rsidP="00E651A6">
            <w:pPr>
              <w:numPr>
                <w:ilvl w:val="0"/>
                <w:numId w:val="23"/>
              </w:numPr>
              <w:tabs>
                <w:tab w:val="clear" w:pos="361"/>
                <w:tab w:val="num" w:pos="176"/>
              </w:tabs>
              <w:ind w:left="176" w:hanging="176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On completing four 2-year terms</w:t>
            </w:r>
            <w:r w:rsidR="00B35299">
              <w:rPr>
                <w:rFonts w:cs="Arial"/>
                <w:sz w:val="19"/>
                <w:szCs w:val="19"/>
                <w:lang w:eastAsia="en-AU"/>
              </w:rPr>
              <w:t xml:space="preserve"> or more</w:t>
            </w:r>
          </w:p>
        </w:tc>
        <w:tc>
          <w:tcPr>
            <w:tcW w:w="5761" w:type="dxa"/>
            <w:shd w:val="clear" w:color="auto" w:fill="auto"/>
            <w:noWrap/>
            <w:vAlign w:val="bottom"/>
          </w:tcPr>
          <w:p w:rsidR="000775A7" w:rsidRPr="00D829E7" w:rsidRDefault="000775A7" w:rsidP="00FA7274">
            <w:pPr>
              <w:ind w:left="567" w:hanging="567"/>
              <w:jc w:val="both"/>
              <w:rPr>
                <w:rFonts w:cs="Arial"/>
                <w:sz w:val="19"/>
                <w:szCs w:val="19"/>
                <w:lang w:eastAsia="en-AU"/>
              </w:rPr>
            </w:pPr>
            <w:r w:rsidRPr="00D829E7">
              <w:rPr>
                <w:rFonts w:cs="Arial"/>
                <w:sz w:val="19"/>
                <w:szCs w:val="19"/>
                <w:lang w:eastAsia="en-AU"/>
              </w:rPr>
              <w:t>A framed certificate of appreciation</w:t>
            </w:r>
            <w:r w:rsidR="00B35299">
              <w:rPr>
                <w:rFonts w:cs="Arial"/>
                <w:sz w:val="19"/>
                <w:szCs w:val="19"/>
                <w:lang w:eastAsia="en-AU"/>
              </w:rPr>
              <w:t xml:space="preserve"> and a gift to the value of $500</w:t>
            </w:r>
          </w:p>
        </w:tc>
      </w:tr>
    </w:tbl>
    <w:p w:rsidR="00C50E20" w:rsidRDefault="00C50E20" w:rsidP="00A45A8B">
      <w:pPr>
        <w:rPr>
          <w:lang w:val="en-US"/>
        </w:rPr>
      </w:pPr>
    </w:p>
    <w:p w:rsidR="00C50E20" w:rsidRPr="000775A7" w:rsidRDefault="00C50E20" w:rsidP="00D829E7">
      <w:pPr>
        <w:spacing w:before="120"/>
        <w:jc w:val="both"/>
      </w:pPr>
      <w:r w:rsidRPr="000775A7">
        <w:t xml:space="preserve">The certificate will </w:t>
      </w:r>
      <w:r w:rsidR="00A45A8B" w:rsidRPr="000775A7">
        <w:t xml:space="preserve">specifically </w:t>
      </w:r>
      <w:r w:rsidRPr="000775A7">
        <w:t>acknowledge any term spent as Chairman or Deputy Chairman</w:t>
      </w:r>
      <w:r w:rsidR="00A45A8B" w:rsidRPr="000775A7">
        <w:t xml:space="preserve"> in addition to the role of Councillor.</w:t>
      </w:r>
    </w:p>
    <w:p w:rsidR="00C50E20" w:rsidRDefault="00C50E20" w:rsidP="000775A7">
      <w:pPr>
        <w:jc w:val="both"/>
      </w:pPr>
    </w:p>
    <w:p w:rsidR="00A45A8B" w:rsidRDefault="00A45A8B" w:rsidP="000775A7">
      <w:pPr>
        <w:jc w:val="both"/>
      </w:pPr>
      <w:r>
        <w:t xml:space="preserve">No gift will be given by way of a cash </w:t>
      </w:r>
      <w:r w:rsidR="007409BD">
        <w:t>payout</w:t>
      </w:r>
      <w:r>
        <w:t xml:space="preserve"> and the gift purchased, should </w:t>
      </w:r>
      <w:r w:rsidR="004B4837">
        <w:t xml:space="preserve">be </w:t>
      </w:r>
      <w:r w:rsidR="00BB4C51">
        <w:t xml:space="preserve">appropriate and may </w:t>
      </w:r>
      <w:r>
        <w:t>be suitable for keeping as a memento.</w:t>
      </w:r>
    </w:p>
    <w:p w:rsidR="00A45A8B" w:rsidRDefault="00A45A8B" w:rsidP="000775A7">
      <w:pPr>
        <w:jc w:val="both"/>
      </w:pPr>
    </w:p>
    <w:p w:rsidR="00B210CA" w:rsidRDefault="009C623A" w:rsidP="00B210CA">
      <w:pPr>
        <w:sectPr w:rsidR="00B210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44" w:right="851" w:bottom="851" w:left="1701" w:header="737" w:footer="113" w:gutter="0"/>
          <w:cols w:space="720"/>
          <w:titlePg/>
        </w:sectPr>
      </w:pPr>
      <w:r>
        <w:t xml:space="preserve">Such certificate of </w:t>
      </w:r>
      <w:r w:rsidR="00BB4C51">
        <w:t>appreciation</w:t>
      </w:r>
      <w:r>
        <w:t xml:space="preserve"> and gift will be presented at the next EMRC </w:t>
      </w:r>
      <w:r w:rsidR="004A174B">
        <w:t xml:space="preserve">Biennial </w:t>
      </w:r>
      <w:r w:rsidR="00331AFD">
        <w:t>d</w:t>
      </w:r>
      <w:r>
        <w:t>inner</w:t>
      </w:r>
      <w:r w:rsidR="004A174B">
        <w:t xml:space="preserve"> or </w:t>
      </w:r>
      <w:r w:rsidR="00331AFD">
        <w:t>c</w:t>
      </w:r>
      <w:r w:rsidR="004A174B">
        <w:t>ocktail function</w:t>
      </w:r>
      <w:r>
        <w:t>.</w:t>
      </w:r>
    </w:p>
    <w:p w:rsidR="009C623A" w:rsidRDefault="009C623A" w:rsidP="000775A7">
      <w:pPr>
        <w:jc w:val="both"/>
      </w:pPr>
    </w:p>
    <w:p w:rsidR="008C345D" w:rsidRPr="00F1185A" w:rsidRDefault="008C345D">
      <w:pPr>
        <w:pStyle w:val="Heading1"/>
        <w:rPr>
          <w:b/>
          <w:color w:val="B08E00"/>
        </w:rPr>
      </w:pPr>
      <w:r w:rsidRPr="00F1185A">
        <w:rPr>
          <w:b/>
          <w:color w:val="B08E00"/>
        </w:rPr>
        <w:t>FINANCIAL CONSIDERATIONS</w:t>
      </w:r>
    </w:p>
    <w:p w:rsidR="008C345D" w:rsidRDefault="003E1244">
      <w:pPr>
        <w:jc w:val="both"/>
      </w:pPr>
      <w:r>
        <w:t>A</w:t>
      </w:r>
      <w:r w:rsidR="0032542D">
        <w:t xml:space="preserve">ppropriate provision </w:t>
      </w:r>
      <w:r>
        <w:t xml:space="preserve">is </w:t>
      </w:r>
      <w:r w:rsidR="0032542D">
        <w:t xml:space="preserve">to be </w:t>
      </w:r>
      <w:r>
        <w:t>included for consideration</w:t>
      </w:r>
      <w:r w:rsidR="00D61B41">
        <w:t xml:space="preserve"> in Council</w:t>
      </w:r>
      <w:r w:rsidR="00E97760">
        <w:t>’s</w:t>
      </w:r>
      <w:r w:rsidR="00D61B41">
        <w:t xml:space="preserve"> annual budget deliberations.</w:t>
      </w:r>
    </w:p>
    <w:p w:rsidR="008C345D" w:rsidRDefault="008C345D">
      <w:pPr>
        <w:jc w:val="both"/>
      </w:pPr>
    </w:p>
    <w:p w:rsidR="00DE009F" w:rsidRDefault="00DE009F">
      <w:pPr>
        <w:jc w:val="both"/>
      </w:pPr>
    </w:p>
    <w:p w:rsidR="008C345D" w:rsidRDefault="008C345D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8C345D">
        <w:trPr>
          <w:trHeight w:val="282"/>
        </w:trPr>
        <w:tc>
          <w:tcPr>
            <w:tcW w:w="4621" w:type="dxa"/>
          </w:tcPr>
          <w:p w:rsidR="008C345D" w:rsidRDefault="008C345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</w:t>
            </w:r>
            <w:r w:rsidR="003254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by Council</w:t>
            </w:r>
            <w:r w:rsidR="0032542D">
              <w:rPr>
                <w:rFonts w:cs="Arial"/>
              </w:rPr>
              <w:t>:</w:t>
            </w:r>
          </w:p>
          <w:p w:rsidR="008C345D" w:rsidRDefault="008C345D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B7492E" w:rsidRDefault="003A67E2" w:rsidP="00B7492E">
            <w:pPr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B7492E">
              <w:rPr>
                <w:rFonts w:cs="Arial"/>
              </w:rPr>
              <w:t xml:space="preserve"> </w:t>
            </w:r>
            <w:r w:rsidR="004805CD">
              <w:rPr>
                <w:rFonts w:cs="Arial"/>
              </w:rPr>
              <w:t>February</w:t>
            </w:r>
            <w:r w:rsidR="00B749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2007</w:t>
            </w:r>
          </w:p>
          <w:p w:rsidR="00E707EA" w:rsidRDefault="00E707EA" w:rsidP="00B7492E">
            <w:pPr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18 September 2008</w:t>
            </w:r>
          </w:p>
          <w:p w:rsidR="00A15019" w:rsidRDefault="00A15019" w:rsidP="00B7492E">
            <w:pPr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23 September 2010</w:t>
            </w:r>
          </w:p>
          <w:p w:rsidR="00961DEF" w:rsidRDefault="00961DEF" w:rsidP="00B7492E">
            <w:pPr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18 September  2014</w:t>
            </w:r>
          </w:p>
          <w:p w:rsidR="00DE009F" w:rsidRDefault="00331AFD" w:rsidP="00B7492E">
            <w:pPr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E009F">
              <w:rPr>
                <w:rFonts w:cs="Arial"/>
              </w:rPr>
              <w:t>6 December 2018</w:t>
            </w:r>
          </w:p>
          <w:p w:rsidR="00B00395" w:rsidRDefault="00B00395" w:rsidP="00B00395">
            <w:pPr>
              <w:ind w:left="420"/>
              <w:jc w:val="both"/>
              <w:rPr>
                <w:rFonts w:cs="Arial"/>
              </w:rPr>
            </w:pPr>
          </w:p>
        </w:tc>
      </w:tr>
      <w:tr w:rsidR="008C345D">
        <w:trPr>
          <w:trHeight w:val="280"/>
        </w:trPr>
        <w:tc>
          <w:tcPr>
            <w:tcW w:w="4621" w:type="dxa"/>
          </w:tcPr>
          <w:p w:rsidR="008C345D" w:rsidRDefault="00B7492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</w:t>
            </w:r>
            <w:r w:rsidR="008C345D">
              <w:rPr>
                <w:rFonts w:cs="Arial"/>
              </w:rPr>
              <w:t>eview</w:t>
            </w:r>
          </w:p>
          <w:p w:rsidR="008C345D" w:rsidRDefault="008C345D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8C345D" w:rsidRDefault="00B7492E" w:rsidP="00DE009F">
            <w:pPr>
              <w:jc w:val="both"/>
              <w:rPr>
                <w:rFonts w:cs="Arial"/>
              </w:rPr>
            </w:pPr>
            <w:r w:rsidRPr="00C3440A">
              <w:rPr>
                <w:rFonts w:cs="Arial"/>
              </w:rPr>
              <w:t>Following the Ordinary Elections in 20</w:t>
            </w:r>
            <w:r w:rsidR="00DE009F">
              <w:rPr>
                <w:rFonts w:cs="Arial"/>
              </w:rPr>
              <w:t>21</w:t>
            </w:r>
          </w:p>
        </w:tc>
      </w:tr>
      <w:tr w:rsidR="008C345D">
        <w:trPr>
          <w:trHeight w:val="280"/>
        </w:trPr>
        <w:tc>
          <w:tcPr>
            <w:tcW w:w="4621" w:type="dxa"/>
          </w:tcPr>
          <w:p w:rsidR="008C345D" w:rsidRDefault="008C345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DE009F">
              <w:rPr>
                <w:rFonts w:cs="Arial"/>
              </w:rPr>
              <w:t>Directorate</w:t>
            </w:r>
          </w:p>
          <w:p w:rsidR="008C345D" w:rsidRDefault="008C345D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8C345D" w:rsidRDefault="008C345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8C345D" w:rsidRDefault="008C345D" w:rsidP="001C7556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8C345D" w:rsidSect="00B210CA"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A" w:rsidRDefault="00847A0A">
      <w:r>
        <w:separator/>
      </w:r>
    </w:p>
  </w:endnote>
  <w:endnote w:type="continuationSeparator" w:id="0">
    <w:p w:rsidR="00847A0A" w:rsidRDefault="008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847A0A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847A0A" w:rsidRDefault="00847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847A0A">
    <w:pPr>
      <w:pStyle w:val="Foo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r>
      <w:rPr>
        <w:sz w:val="16"/>
      </w:rPr>
      <w:t>info@emrc.org.au</w:t>
    </w:r>
    <w:r>
      <w:rPr>
        <w:sz w:val="16"/>
        <w:lang w:val="en-US"/>
      </w:rPr>
      <w:t xml:space="preserve"> 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www.emrc.org.au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847A0A" w:rsidP="008C345D">
    <w:pPr>
      <w:pStyle w:val="Footer"/>
      <w:jc w:val="center"/>
      <w:rPr>
        <w:rStyle w:val="Hyperlink"/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r>
      <w:rPr>
        <w:sz w:val="16"/>
      </w:rPr>
      <w:t>info@emrc.org.au</w:t>
    </w:r>
    <w:r>
      <w:rPr>
        <w:sz w:val="16"/>
        <w:lang w:val="en-US"/>
      </w:rPr>
      <w:t xml:space="preserve"> 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1" w:history="1">
      <w:r w:rsidRPr="00B0767E">
        <w:rPr>
          <w:rStyle w:val="Hyperlink"/>
          <w:sz w:val="16"/>
          <w:lang w:val="en-US"/>
        </w:rPr>
        <w:t>www.emrc.org.au</w:t>
      </w:r>
    </w:hyperlink>
  </w:p>
  <w:p w:rsidR="00331AFD" w:rsidRDefault="00331AFD" w:rsidP="00331AFD">
    <w:pPr>
      <w:pStyle w:val="Footer"/>
      <w:jc w:val="center"/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 xml:space="preserve"> Policy - 3.2 Recognition of Members of Council Policy - 06-12-2018.DOCX</w:t>
    </w:r>
    <w:r>
      <w:rPr>
        <w:bCs/>
        <w:sz w:val="16"/>
        <w:lang w:val="en-US"/>
      </w:rPr>
      <w:fldChar w:fldCharType="end"/>
    </w:r>
  </w:p>
  <w:p w:rsidR="00331AFD" w:rsidRDefault="00331AFD" w:rsidP="008C345D">
    <w:pPr>
      <w:pStyle w:val="Footer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A" w:rsidRDefault="00847A0A">
      <w:r>
        <w:separator/>
      </w:r>
    </w:p>
  </w:footnote>
  <w:footnote w:type="continuationSeparator" w:id="0">
    <w:p w:rsidR="00847A0A" w:rsidRDefault="0084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07294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18269BC" wp14:editId="131F39E6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07294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2FFCF5E9" wp14:editId="1672BED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3" name="Picture 13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A" w:rsidRDefault="00072941" w:rsidP="001C7556">
    <w:pPr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B0F233A" wp14:editId="1EC756F7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31925" cy="636905"/>
          <wp:effectExtent l="19050" t="0" r="0" b="0"/>
          <wp:wrapTopAndBottom/>
          <wp:docPr id="10" name="Picture 10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A0A" w:rsidRDefault="00847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2F3ABE"/>
    <w:multiLevelType w:val="hybridMultilevel"/>
    <w:tmpl w:val="F14819F2"/>
    <w:lvl w:ilvl="0" w:tplc="51522280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77FB0"/>
    <w:multiLevelType w:val="hybridMultilevel"/>
    <w:tmpl w:val="0A5481D8"/>
    <w:lvl w:ilvl="0" w:tplc="0D2A59C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64503"/>
    <w:multiLevelType w:val="hybridMultilevel"/>
    <w:tmpl w:val="A95A7432"/>
    <w:lvl w:ilvl="0" w:tplc="5152228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>
    <w:nsid w:val="26B0715A"/>
    <w:multiLevelType w:val="hybridMultilevel"/>
    <w:tmpl w:val="B1DE35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BD5D47"/>
    <w:multiLevelType w:val="hybridMultilevel"/>
    <w:tmpl w:val="9334DF04"/>
    <w:lvl w:ilvl="0" w:tplc="BBC051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224A9E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F87A1EC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3" w:tplc="867E1F7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A4943"/>
    <w:multiLevelType w:val="hybridMultilevel"/>
    <w:tmpl w:val="9C18CAD8"/>
    <w:lvl w:ilvl="0" w:tplc="427265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F668A"/>
    <w:multiLevelType w:val="hybridMultilevel"/>
    <w:tmpl w:val="EEC231A8"/>
    <w:lvl w:ilvl="0" w:tplc="51522280">
      <w:start w:val="1"/>
      <w:numFmt w:val="bullet"/>
      <w:lvlText w:val=""/>
      <w:lvlJc w:val="left"/>
      <w:pPr>
        <w:tabs>
          <w:tab w:val="num" w:pos="361"/>
        </w:tabs>
        <w:ind w:left="361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21">
    <w:nsid w:val="641D08ED"/>
    <w:multiLevelType w:val="hybridMultilevel"/>
    <w:tmpl w:val="3042E064"/>
    <w:lvl w:ilvl="0" w:tplc="9B8499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BF2669"/>
    <w:multiLevelType w:val="hybridMultilevel"/>
    <w:tmpl w:val="9334DF04"/>
    <w:lvl w:ilvl="0" w:tplc="EAFC84D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EF7E677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35051"/>
    <w:multiLevelType w:val="hybridMultilevel"/>
    <w:tmpl w:val="9334DF04"/>
    <w:lvl w:ilvl="0" w:tplc="8D324148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EF7E677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4"/>
  </w:num>
  <w:num w:numId="18">
    <w:abstractNumId w:val="23"/>
  </w:num>
  <w:num w:numId="19">
    <w:abstractNumId w:val="22"/>
  </w:num>
  <w:num w:numId="20">
    <w:abstractNumId w:val="12"/>
  </w:num>
  <w:num w:numId="21">
    <w:abstractNumId w:val="16"/>
  </w:num>
  <w:num w:numId="22">
    <w:abstractNumId w:val="15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45D"/>
    <w:rsid w:val="00010645"/>
    <w:rsid w:val="00020BFA"/>
    <w:rsid w:val="00072941"/>
    <w:rsid w:val="000775A7"/>
    <w:rsid w:val="0008053A"/>
    <w:rsid w:val="00085717"/>
    <w:rsid w:val="000B1845"/>
    <w:rsid w:val="000C27D7"/>
    <w:rsid w:val="000E1A1B"/>
    <w:rsid w:val="000E7045"/>
    <w:rsid w:val="001C7556"/>
    <w:rsid w:val="00241AE9"/>
    <w:rsid w:val="0026634D"/>
    <w:rsid w:val="002E7CE1"/>
    <w:rsid w:val="00302E99"/>
    <w:rsid w:val="00312E89"/>
    <w:rsid w:val="0032542D"/>
    <w:rsid w:val="00331AFD"/>
    <w:rsid w:val="00360202"/>
    <w:rsid w:val="0037186A"/>
    <w:rsid w:val="00374D72"/>
    <w:rsid w:val="003A67E2"/>
    <w:rsid w:val="003D6FAD"/>
    <w:rsid w:val="003E10D3"/>
    <w:rsid w:val="003E1244"/>
    <w:rsid w:val="00463C37"/>
    <w:rsid w:val="004805CD"/>
    <w:rsid w:val="00493763"/>
    <w:rsid w:val="004A174B"/>
    <w:rsid w:val="004B4837"/>
    <w:rsid w:val="004B7F52"/>
    <w:rsid w:val="0055631C"/>
    <w:rsid w:val="00556562"/>
    <w:rsid w:val="005B7786"/>
    <w:rsid w:val="005E1D75"/>
    <w:rsid w:val="00600F25"/>
    <w:rsid w:val="006074A8"/>
    <w:rsid w:val="00611137"/>
    <w:rsid w:val="00621926"/>
    <w:rsid w:val="00623480"/>
    <w:rsid w:val="00654D20"/>
    <w:rsid w:val="00661CE2"/>
    <w:rsid w:val="006B7C82"/>
    <w:rsid w:val="006D3779"/>
    <w:rsid w:val="006E0C06"/>
    <w:rsid w:val="00710E18"/>
    <w:rsid w:val="007409BD"/>
    <w:rsid w:val="0076112F"/>
    <w:rsid w:val="00777FF5"/>
    <w:rsid w:val="007C5F77"/>
    <w:rsid w:val="007D0D1E"/>
    <w:rsid w:val="007E3A78"/>
    <w:rsid w:val="00800BAF"/>
    <w:rsid w:val="00826A75"/>
    <w:rsid w:val="00847A0A"/>
    <w:rsid w:val="00890F58"/>
    <w:rsid w:val="008B0837"/>
    <w:rsid w:val="008B54CA"/>
    <w:rsid w:val="008C345D"/>
    <w:rsid w:val="0095151F"/>
    <w:rsid w:val="00961DEF"/>
    <w:rsid w:val="00973EB3"/>
    <w:rsid w:val="00974474"/>
    <w:rsid w:val="00990C5F"/>
    <w:rsid w:val="009B7C4B"/>
    <w:rsid w:val="009C623A"/>
    <w:rsid w:val="009E7F68"/>
    <w:rsid w:val="00A15019"/>
    <w:rsid w:val="00A45A8B"/>
    <w:rsid w:val="00AA3AE2"/>
    <w:rsid w:val="00AC1EF1"/>
    <w:rsid w:val="00AE2750"/>
    <w:rsid w:val="00B00395"/>
    <w:rsid w:val="00B210CA"/>
    <w:rsid w:val="00B2327A"/>
    <w:rsid w:val="00B35299"/>
    <w:rsid w:val="00B7492E"/>
    <w:rsid w:val="00BB4C51"/>
    <w:rsid w:val="00C3287C"/>
    <w:rsid w:val="00C50E20"/>
    <w:rsid w:val="00C61538"/>
    <w:rsid w:val="00C66840"/>
    <w:rsid w:val="00C91430"/>
    <w:rsid w:val="00CC1FBF"/>
    <w:rsid w:val="00CF25CC"/>
    <w:rsid w:val="00D127DA"/>
    <w:rsid w:val="00D1402A"/>
    <w:rsid w:val="00D22807"/>
    <w:rsid w:val="00D233AC"/>
    <w:rsid w:val="00D61B41"/>
    <w:rsid w:val="00D77A79"/>
    <w:rsid w:val="00D829E7"/>
    <w:rsid w:val="00DA30BC"/>
    <w:rsid w:val="00DB606B"/>
    <w:rsid w:val="00DC22B4"/>
    <w:rsid w:val="00DD62FD"/>
    <w:rsid w:val="00DE009F"/>
    <w:rsid w:val="00E0151C"/>
    <w:rsid w:val="00E052D2"/>
    <w:rsid w:val="00E22136"/>
    <w:rsid w:val="00E43E68"/>
    <w:rsid w:val="00E651A6"/>
    <w:rsid w:val="00E707EA"/>
    <w:rsid w:val="00E97760"/>
    <w:rsid w:val="00EC1855"/>
    <w:rsid w:val="00EC3C35"/>
    <w:rsid w:val="00F1185A"/>
    <w:rsid w:val="00F35569"/>
    <w:rsid w:val="00F43879"/>
    <w:rsid w:val="00F96443"/>
    <w:rsid w:val="00FA1FFB"/>
    <w:rsid w:val="00FA7274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56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35569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F35569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35569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F35569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5569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F355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35569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F35569"/>
    <w:rPr>
      <w:color w:val="0000FF"/>
      <w:u w:val="single"/>
    </w:rPr>
  </w:style>
  <w:style w:type="paragraph" w:styleId="BodyText">
    <w:name w:val="Body Text"/>
    <w:basedOn w:val="Normal"/>
    <w:rsid w:val="00F35569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35569"/>
    <w:pPr>
      <w:ind w:left="567"/>
    </w:pPr>
    <w:rPr>
      <w:sz w:val="16"/>
    </w:rPr>
  </w:style>
  <w:style w:type="paragraph" w:customStyle="1" w:styleId="Pol2">
    <w:name w:val="Pol 2"/>
    <w:basedOn w:val="Normal"/>
    <w:rsid w:val="00F35569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F35569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654D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1AFD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9</TotalTime>
  <Pages>2</Pages>
  <Words>317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1950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7</cp:revision>
  <cp:lastPrinted>2014-04-15T02:12:00Z</cp:lastPrinted>
  <dcterms:created xsi:type="dcterms:W3CDTF">2018-05-28T06:25:00Z</dcterms:created>
  <dcterms:modified xsi:type="dcterms:W3CDTF">2019-01-03T08:32:00Z</dcterms:modified>
</cp:coreProperties>
</file>