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D" w:rsidRDefault="008C345D">
      <w:pPr>
        <w:rPr>
          <w:lang w:val="en-US"/>
        </w:rPr>
      </w:pPr>
      <w:bookmarkStart w:id="0" w:name="_GoBack"/>
      <w:bookmarkEnd w:id="0"/>
    </w:p>
    <w:p w:rsidR="008C345D" w:rsidRDefault="008C345D">
      <w:pPr>
        <w:rPr>
          <w:lang w:val="en-US"/>
        </w:rPr>
      </w:pPr>
    </w:p>
    <w:p w:rsidR="008C345D" w:rsidRDefault="008C345D">
      <w:pPr>
        <w:rPr>
          <w:lang w:val="en-US"/>
        </w:rPr>
      </w:pPr>
    </w:p>
    <w:p w:rsidR="008C345D" w:rsidRDefault="00C24D3B">
      <w:pPr>
        <w:pStyle w:val="Title"/>
        <w:rPr>
          <w:lang w:val="en-US"/>
        </w:rPr>
      </w:pPr>
      <w:r>
        <w:rPr>
          <w:lang w:val="en-US"/>
        </w:rPr>
        <w:t>3.6</w:t>
      </w:r>
      <w:r>
        <w:rPr>
          <w:lang w:val="en-US"/>
        </w:rPr>
        <w:tab/>
      </w:r>
      <w:r w:rsidR="00E81A23">
        <w:rPr>
          <w:lang w:val="en-US"/>
        </w:rPr>
        <w:tab/>
      </w:r>
      <w:r w:rsidR="00632E0E" w:rsidRPr="003807E3">
        <w:rPr>
          <w:b/>
          <w:lang w:val="en-US"/>
        </w:rPr>
        <w:t>Asset Management Policy</w:t>
      </w:r>
    </w:p>
    <w:p w:rsidR="008C345D" w:rsidRPr="00C24D3B" w:rsidRDefault="008C345D" w:rsidP="003807E3">
      <w:pPr>
        <w:pStyle w:val="Heading1"/>
        <w:spacing w:before="960"/>
        <w:rPr>
          <w:b/>
          <w:color w:val="B08E00"/>
        </w:rPr>
      </w:pPr>
      <w:r w:rsidRPr="00C24D3B">
        <w:rPr>
          <w:b/>
          <w:color w:val="B08E00"/>
        </w:rPr>
        <w:t xml:space="preserve">STRATEGIC PLAN OBJECTIVE </w:t>
      </w:r>
    </w:p>
    <w:p w:rsidR="00632E0E" w:rsidRDefault="00E81A23">
      <w:r>
        <w:t>3</w:t>
      </w:r>
      <w:r w:rsidR="00632E0E">
        <w:t>.4</w:t>
      </w:r>
      <w:r w:rsidR="00632E0E">
        <w:tab/>
        <w:t>To continue to improve financial and asset management practices</w:t>
      </w:r>
      <w:r w:rsidR="00A4271F">
        <w:t>.</w:t>
      </w:r>
    </w:p>
    <w:p w:rsidR="008C345D" w:rsidRPr="00C24D3B" w:rsidRDefault="008C345D">
      <w:pPr>
        <w:pStyle w:val="Heading1"/>
        <w:rPr>
          <w:b/>
          <w:color w:val="AF8F00"/>
        </w:rPr>
      </w:pPr>
      <w:r w:rsidRPr="00C24D3B">
        <w:rPr>
          <w:b/>
          <w:color w:val="B08E00"/>
        </w:rPr>
        <w:t>PURPOSE</w:t>
      </w:r>
    </w:p>
    <w:p w:rsidR="008C345D" w:rsidRDefault="00F4299E">
      <w:r>
        <w:t xml:space="preserve">To </w:t>
      </w:r>
      <w:r w:rsidR="00F861BD">
        <w:t>provide</w:t>
      </w:r>
      <w:r w:rsidR="00B6038A">
        <w:t xml:space="preserve"> </w:t>
      </w:r>
      <w:r>
        <w:t>for the responsible management of EMRC controlled assets.</w:t>
      </w:r>
    </w:p>
    <w:p w:rsidR="00F861BD" w:rsidRDefault="00F861BD"/>
    <w:p w:rsidR="00F861BD" w:rsidRDefault="00F861BD" w:rsidP="00F861BD">
      <w:pPr>
        <w:jc w:val="both"/>
      </w:pPr>
      <w:r>
        <w:t xml:space="preserve">This policy covers all assets controlled by </w:t>
      </w:r>
      <w:r w:rsidR="00C966CB">
        <w:t xml:space="preserve">the </w:t>
      </w:r>
      <w:r>
        <w:t xml:space="preserve">EMRC and applies to all areas of EMRC that have responsibility to manage, maintain, operate or provide a service utilising EMRC’s assets. </w:t>
      </w:r>
    </w:p>
    <w:p w:rsidR="00F2735D" w:rsidRPr="00C24D3B" w:rsidRDefault="00F2735D">
      <w:pPr>
        <w:pStyle w:val="Heading1"/>
        <w:tabs>
          <w:tab w:val="left" w:pos="851"/>
        </w:tabs>
        <w:rPr>
          <w:b/>
          <w:color w:val="B08E00"/>
        </w:rPr>
      </w:pPr>
      <w:r w:rsidRPr="00C24D3B">
        <w:rPr>
          <w:b/>
          <w:color w:val="B08E00"/>
        </w:rPr>
        <w:t>LEGISLATION</w:t>
      </w:r>
    </w:p>
    <w:p w:rsidR="00632E0E" w:rsidRPr="003807E3" w:rsidRDefault="00632E0E" w:rsidP="00814F7F">
      <w:pPr>
        <w:ind w:right="1841"/>
        <w:rPr>
          <w:rFonts w:eastAsia="Arial" w:cs="Arial"/>
          <w:i/>
        </w:rPr>
      </w:pPr>
      <w:r w:rsidRPr="003807E3">
        <w:rPr>
          <w:rFonts w:eastAsia="Arial" w:cs="Arial"/>
          <w:i/>
        </w:rPr>
        <w:t>Lo</w:t>
      </w:r>
      <w:r w:rsidRPr="003807E3">
        <w:rPr>
          <w:rFonts w:eastAsia="Arial" w:cs="Arial"/>
          <w:i/>
          <w:spacing w:val="1"/>
        </w:rPr>
        <w:t>c</w:t>
      </w:r>
      <w:r w:rsidRPr="003807E3">
        <w:rPr>
          <w:rFonts w:eastAsia="Arial" w:cs="Arial"/>
          <w:i/>
        </w:rPr>
        <w:t>al</w:t>
      </w:r>
      <w:r w:rsidRPr="003807E3">
        <w:rPr>
          <w:rFonts w:eastAsia="Arial" w:cs="Arial"/>
          <w:i/>
          <w:spacing w:val="-6"/>
        </w:rPr>
        <w:t xml:space="preserve"> </w:t>
      </w:r>
      <w:r w:rsidRPr="003807E3">
        <w:rPr>
          <w:rFonts w:eastAsia="Arial" w:cs="Arial"/>
          <w:i/>
          <w:spacing w:val="3"/>
        </w:rPr>
        <w:t>G</w:t>
      </w:r>
      <w:r w:rsidRPr="003807E3">
        <w:rPr>
          <w:rFonts w:eastAsia="Arial" w:cs="Arial"/>
          <w:i/>
        </w:rPr>
        <w:t>o</w:t>
      </w:r>
      <w:r w:rsidRPr="003807E3">
        <w:rPr>
          <w:rFonts w:eastAsia="Arial" w:cs="Arial"/>
          <w:i/>
          <w:spacing w:val="1"/>
        </w:rPr>
        <w:t>v</w:t>
      </w:r>
      <w:r w:rsidRPr="003807E3">
        <w:rPr>
          <w:rFonts w:eastAsia="Arial" w:cs="Arial"/>
          <w:i/>
        </w:rPr>
        <w:t>e</w:t>
      </w:r>
      <w:r w:rsidRPr="003807E3">
        <w:rPr>
          <w:rFonts w:eastAsia="Arial" w:cs="Arial"/>
          <w:i/>
          <w:spacing w:val="1"/>
        </w:rPr>
        <w:t>r</w:t>
      </w:r>
      <w:r w:rsidRPr="003807E3">
        <w:rPr>
          <w:rFonts w:eastAsia="Arial" w:cs="Arial"/>
          <w:i/>
        </w:rPr>
        <w:t>n</w:t>
      </w:r>
      <w:r w:rsidRPr="003807E3">
        <w:rPr>
          <w:rFonts w:eastAsia="Arial" w:cs="Arial"/>
          <w:i/>
          <w:spacing w:val="4"/>
        </w:rPr>
        <w:t>m</w:t>
      </w:r>
      <w:r w:rsidRPr="003807E3">
        <w:rPr>
          <w:rFonts w:eastAsia="Arial" w:cs="Arial"/>
          <w:i/>
        </w:rPr>
        <w:t>ent</w:t>
      </w:r>
      <w:r w:rsidRPr="003807E3">
        <w:rPr>
          <w:rFonts w:eastAsia="Arial" w:cs="Arial"/>
          <w:i/>
          <w:spacing w:val="-12"/>
        </w:rPr>
        <w:t xml:space="preserve"> </w:t>
      </w:r>
      <w:r w:rsidRPr="003807E3">
        <w:rPr>
          <w:rFonts w:eastAsia="Arial" w:cs="Arial"/>
          <w:i/>
          <w:spacing w:val="-1"/>
        </w:rPr>
        <w:t>A</w:t>
      </w:r>
      <w:r w:rsidRPr="003807E3">
        <w:rPr>
          <w:rFonts w:eastAsia="Arial" w:cs="Arial"/>
          <w:i/>
          <w:spacing w:val="1"/>
        </w:rPr>
        <w:t>c</w:t>
      </w:r>
      <w:r w:rsidRPr="003807E3">
        <w:rPr>
          <w:rFonts w:eastAsia="Arial" w:cs="Arial"/>
          <w:i/>
        </w:rPr>
        <w:t>t</w:t>
      </w:r>
      <w:r w:rsidRPr="003807E3">
        <w:rPr>
          <w:rFonts w:eastAsia="Arial" w:cs="Arial"/>
          <w:i/>
          <w:spacing w:val="-4"/>
        </w:rPr>
        <w:t xml:space="preserve"> </w:t>
      </w:r>
      <w:r w:rsidRPr="003807E3">
        <w:rPr>
          <w:rFonts w:eastAsia="Arial" w:cs="Arial"/>
          <w:i/>
        </w:rPr>
        <w:t>1</w:t>
      </w:r>
      <w:r w:rsidRPr="003807E3">
        <w:rPr>
          <w:rFonts w:eastAsia="Arial" w:cs="Arial"/>
          <w:i/>
          <w:spacing w:val="2"/>
        </w:rPr>
        <w:t>99</w:t>
      </w:r>
      <w:r w:rsidRPr="003807E3">
        <w:rPr>
          <w:rFonts w:eastAsia="Arial" w:cs="Arial"/>
          <w:i/>
        </w:rPr>
        <w:t>5</w:t>
      </w:r>
      <w:r w:rsidR="00F861BD" w:rsidRPr="003807E3">
        <w:rPr>
          <w:rFonts w:eastAsia="Arial" w:cs="Arial"/>
          <w:i/>
        </w:rPr>
        <w:t xml:space="preserve"> s 5.56</w:t>
      </w:r>
    </w:p>
    <w:p w:rsidR="00F861BD" w:rsidRPr="00F851C2" w:rsidRDefault="00F861BD" w:rsidP="00814F7F">
      <w:pPr>
        <w:tabs>
          <w:tab w:val="left" w:pos="7797"/>
        </w:tabs>
        <w:ind w:right="1416"/>
        <w:rPr>
          <w:rFonts w:eastAsia="Arial" w:cs="Arial"/>
        </w:rPr>
      </w:pPr>
      <w:r w:rsidRPr="003807E3">
        <w:rPr>
          <w:rFonts w:eastAsia="Arial" w:cs="Arial"/>
          <w:i/>
        </w:rPr>
        <w:t>Local Government (Admin</w:t>
      </w:r>
      <w:r w:rsidR="00B6038A" w:rsidRPr="003807E3">
        <w:rPr>
          <w:rFonts w:eastAsia="Arial" w:cs="Arial"/>
          <w:i/>
        </w:rPr>
        <w:t>istration) R</w:t>
      </w:r>
      <w:r w:rsidRPr="003807E3">
        <w:rPr>
          <w:rFonts w:eastAsia="Arial" w:cs="Arial"/>
          <w:i/>
        </w:rPr>
        <w:t>egulations 1996 r19C and 19 DA</w:t>
      </w:r>
    </w:p>
    <w:p w:rsidR="008C345D" w:rsidRDefault="008C345D">
      <w:pPr>
        <w:pStyle w:val="Heading1"/>
        <w:tabs>
          <w:tab w:val="left" w:pos="851"/>
        </w:tabs>
        <w:rPr>
          <w:color w:val="B08E00"/>
        </w:rPr>
      </w:pPr>
      <w:r w:rsidRPr="00C24D3B">
        <w:rPr>
          <w:b/>
          <w:color w:val="B08E00"/>
        </w:rPr>
        <w:t>POLICY</w:t>
      </w:r>
      <w:r>
        <w:rPr>
          <w:color w:val="B08E00"/>
        </w:rPr>
        <w:t xml:space="preserve"> </w:t>
      </w:r>
      <w:r w:rsidRPr="00C24D3B">
        <w:rPr>
          <w:b/>
          <w:color w:val="B08E00"/>
        </w:rPr>
        <w:t>STATEMENT</w:t>
      </w:r>
    </w:p>
    <w:p w:rsidR="00632E0E" w:rsidRPr="00AD4CFF" w:rsidRDefault="00632E0E" w:rsidP="00632E0E">
      <w:pPr>
        <w:jc w:val="both"/>
        <w:rPr>
          <w:rFonts w:cs="Arial"/>
        </w:rPr>
      </w:pPr>
      <w:r w:rsidRPr="00AD4CFF">
        <w:rPr>
          <w:rFonts w:cs="Arial"/>
        </w:rPr>
        <w:t>E</w:t>
      </w:r>
      <w:r w:rsidR="00AD4CFF" w:rsidRPr="00AD4CFF">
        <w:rPr>
          <w:rFonts w:cs="Arial"/>
        </w:rPr>
        <w:t>M</w:t>
      </w:r>
      <w:r w:rsidRPr="00AD4CFF">
        <w:rPr>
          <w:rFonts w:cs="Arial"/>
        </w:rPr>
        <w:t xml:space="preserve">RC recognises the role that efficient, sustainable and cost effective asset management has in underpinning the delivery of quality services, both in the present and in the future, to its member </w:t>
      </w:r>
      <w:r w:rsidR="0051612C" w:rsidRPr="00AD4CFF">
        <w:rPr>
          <w:rFonts w:cs="Arial"/>
        </w:rPr>
        <w:t>Councils</w:t>
      </w:r>
      <w:r w:rsidRPr="00AD4CFF">
        <w:rPr>
          <w:rFonts w:cs="Arial"/>
        </w:rPr>
        <w:t>.</w:t>
      </w:r>
    </w:p>
    <w:p w:rsidR="00632E0E" w:rsidRPr="00AD4CFF" w:rsidRDefault="00632E0E" w:rsidP="00632E0E">
      <w:pPr>
        <w:jc w:val="both"/>
        <w:rPr>
          <w:rFonts w:cs="Arial"/>
        </w:rPr>
      </w:pPr>
    </w:p>
    <w:p w:rsidR="00632E0E" w:rsidRDefault="00AD4CFF" w:rsidP="00632E0E">
      <w:pPr>
        <w:jc w:val="both"/>
        <w:rPr>
          <w:rFonts w:cs="Arial"/>
        </w:rPr>
      </w:pPr>
      <w:r w:rsidRPr="00AD4CFF">
        <w:rPr>
          <w:rFonts w:cs="Arial"/>
        </w:rPr>
        <w:t xml:space="preserve">EMRC </w:t>
      </w:r>
      <w:r w:rsidR="00632E0E" w:rsidRPr="00AD4CFF">
        <w:rPr>
          <w:rFonts w:cs="Arial"/>
        </w:rPr>
        <w:t>is committed to an integrated and strategic approach to asset management that is underpinned by the following key principles:</w:t>
      </w:r>
    </w:p>
    <w:p w:rsidR="00AD4CFF" w:rsidRPr="00AD4CFF" w:rsidRDefault="00AD4CFF" w:rsidP="00632E0E">
      <w:pPr>
        <w:jc w:val="both"/>
        <w:rPr>
          <w:rFonts w:cs="Arial"/>
        </w:rPr>
      </w:pPr>
    </w:p>
    <w:p w:rsidR="00632E0E" w:rsidRPr="00AD4CFF" w:rsidRDefault="00632E0E" w:rsidP="00AD4CFF">
      <w:pPr>
        <w:pStyle w:val="ListParagraph"/>
        <w:numPr>
          <w:ilvl w:val="0"/>
          <w:numId w:val="20"/>
        </w:numPr>
        <w:spacing w:after="120"/>
        <w:ind w:left="426" w:hanging="426"/>
        <w:contextualSpacing w:val="0"/>
        <w:jc w:val="both"/>
        <w:rPr>
          <w:rFonts w:ascii="Arial" w:hAnsi="Arial" w:cs="Arial"/>
          <w:sz w:val="20"/>
        </w:rPr>
      </w:pPr>
      <w:r w:rsidRPr="00AD4CFF">
        <w:rPr>
          <w:rFonts w:ascii="Arial" w:hAnsi="Arial" w:cs="Arial"/>
          <w:sz w:val="20"/>
        </w:rPr>
        <w:t>ensuring service delivery needs form the basis of asset management;</w:t>
      </w:r>
    </w:p>
    <w:p w:rsidR="00632E0E" w:rsidRPr="00AD4CFF" w:rsidRDefault="00632E0E" w:rsidP="00AD4CFF">
      <w:pPr>
        <w:pStyle w:val="ListParagraph"/>
        <w:numPr>
          <w:ilvl w:val="0"/>
          <w:numId w:val="20"/>
        </w:numPr>
        <w:spacing w:after="120"/>
        <w:ind w:left="426" w:hanging="426"/>
        <w:contextualSpacing w:val="0"/>
        <w:jc w:val="both"/>
        <w:rPr>
          <w:rFonts w:ascii="Arial" w:hAnsi="Arial" w:cs="Arial"/>
          <w:sz w:val="20"/>
        </w:rPr>
      </w:pPr>
      <w:r w:rsidRPr="00AD4CFF">
        <w:rPr>
          <w:rFonts w:ascii="Arial" w:hAnsi="Arial" w:cs="Arial"/>
          <w:sz w:val="20"/>
        </w:rPr>
        <w:t>informed decision-making, incorporating a life-cycle approach to asset management and risk management; and</w:t>
      </w:r>
    </w:p>
    <w:p w:rsidR="00632E0E" w:rsidRPr="00AD4CFF" w:rsidRDefault="00632E0E" w:rsidP="00AD4CFF">
      <w:pPr>
        <w:pStyle w:val="ListParagraph"/>
        <w:numPr>
          <w:ilvl w:val="0"/>
          <w:numId w:val="20"/>
        </w:numPr>
        <w:spacing w:after="120"/>
        <w:ind w:left="426" w:hanging="426"/>
        <w:contextualSpacing w:val="0"/>
        <w:jc w:val="both"/>
        <w:rPr>
          <w:rFonts w:ascii="Arial" w:hAnsi="Arial" w:cs="Arial"/>
          <w:sz w:val="20"/>
        </w:rPr>
      </w:pPr>
      <w:proofErr w:type="gramStart"/>
      <w:r w:rsidRPr="00AD4CFF">
        <w:rPr>
          <w:rFonts w:ascii="Arial" w:hAnsi="Arial" w:cs="Arial"/>
          <w:sz w:val="20"/>
        </w:rPr>
        <w:t>sustainability</w:t>
      </w:r>
      <w:proofErr w:type="gramEnd"/>
      <w:r w:rsidRPr="00AD4CFF">
        <w:rPr>
          <w:rFonts w:ascii="Arial" w:hAnsi="Arial" w:cs="Arial"/>
          <w:sz w:val="20"/>
        </w:rPr>
        <w:t>, providing for present needs while sustaining resources for future generations.</w:t>
      </w:r>
    </w:p>
    <w:p w:rsidR="001B33E0" w:rsidRPr="00C24D3B" w:rsidRDefault="001B33E0" w:rsidP="001B33E0">
      <w:pPr>
        <w:pStyle w:val="Heading1"/>
        <w:tabs>
          <w:tab w:val="left" w:pos="851"/>
        </w:tabs>
        <w:rPr>
          <w:b/>
          <w:color w:val="B08E00"/>
        </w:rPr>
      </w:pPr>
      <w:r w:rsidRPr="00C24D3B">
        <w:rPr>
          <w:b/>
          <w:color w:val="B08E00"/>
        </w:rPr>
        <w:t>DEFINITION</w:t>
      </w:r>
    </w:p>
    <w:p w:rsidR="001B33E0" w:rsidRDefault="001B33E0" w:rsidP="001B33E0">
      <w:pPr>
        <w:jc w:val="both"/>
      </w:pPr>
      <w:r>
        <w:t xml:space="preserve">An </w:t>
      </w:r>
      <w:r>
        <w:rPr>
          <w:b/>
        </w:rPr>
        <w:t>asset</w:t>
      </w:r>
      <w:r>
        <w:t xml:space="preserve"> is a resource controlled by the entity as a result of past events and from which future economic benefits are </w:t>
      </w:r>
      <w:r w:rsidR="008C2B29">
        <w:t xml:space="preserve">expected to flow to the entity – </w:t>
      </w:r>
      <w:r w:rsidR="008C2B29">
        <w:rPr>
          <w:i/>
        </w:rPr>
        <w:t>Australian Accounting Standards Board</w:t>
      </w:r>
      <w:r w:rsidR="008C2B29">
        <w:t>.</w:t>
      </w:r>
    </w:p>
    <w:p w:rsidR="00814F7F" w:rsidRDefault="00814F7F">
      <w:r>
        <w:br w:type="page"/>
      </w:r>
    </w:p>
    <w:p w:rsidR="00814F7F" w:rsidRPr="008C2B29" w:rsidRDefault="00814F7F" w:rsidP="001B33E0">
      <w:pPr>
        <w:jc w:val="both"/>
      </w:pPr>
    </w:p>
    <w:p w:rsidR="00F4299E" w:rsidRPr="00C24D3B" w:rsidRDefault="00632E0E" w:rsidP="003807E3">
      <w:pPr>
        <w:pStyle w:val="Heading1"/>
        <w:tabs>
          <w:tab w:val="left" w:pos="851"/>
        </w:tabs>
        <w:rPr>
          <w:b/>
          <w:color w:val="B08E00"/>
        </w:rPr>
      </w:pPr>
      <w:r w:rsidRPr="00C24D3B">
        <w:rPr>
          <w:b/>
          <w:color w:val="B08E00"/>
        </w:rPr>
        <w:t>POLICY OBJECTIVES</w:t>
      </w:r>
    </w:p>
    <w:p w:rsidR="00632E0E" w:rsidRDefault="00632E0E" w:rsidP="00632E0E">
      <w:pPr>
        <w:jc w:val="both"/>
        <w:rPr>
          <w:rFonts w:cs="Arial"/>
        </w:rPr>
      </w:pPr>
      <w:r w:rsidRPr="00F4299E">
        <w:rPr>
          <w:rFonts w:cs="Arial"/>
        </w:rPr>
        <w:t xml:space="preserve">The objectives of this policy are to: </w:t>
      </w:r>
    </w:p>
    <w:p w:rsidR="00AD4CFF" w:rsidRPr="00F4299E" w:rsidRDefault="00AD4CFF" w:rsidP="00632E0E">
      <w:pPr>
        <w:jc w:val="both"/>
        <w:rPr>
          <w:rFonts w:cs="Arial"/>
        </w:rPr>
      </w:pP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Ensure that assets and service levels are maintained in an efficient, sustainable and cost effective manner through long term planning;</w:t>
      </w: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Integrate asset management with other corporate planning to ensure that the impacts of changes in demands and service levels are taken into consideration; </w:t>
      </w: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Assign accountability and responsibility for asset management; and </w:t>
      </w:r>
    </w:p>
    <w:p w:rsidR="00632E0E" w:rsidRPr="00F4299E" w:rsidRDefault="00632E0E" w:rsidP="00AD4CFF">
      <w:pPr>
        <w:pStyle w:val="ListParagraph"/>
        <w:numPr>
          <w:ilvl w:val="0"/>
          <w:numId w:val="20"/>
        </w:numPr>
        <w:ind w:left="426" w:hanging="426"/>
        <w:contextualSpacing w:val="0"/>
        <w:jc w:val="both"/>
        <w:rPr>
          <w:rFonts w:ascii="Arial" w:hAnsi="Arial" w:cs="Arial"/>
          <w:sz w:val="20"/>
        </w:rPr>
      </w:pPr>
      <w:r w:rsidRPr="00F4299E">
        <w:rPr>
          <w:rFonts w:ascii="Arial" w:hAnsi="Arial" w:cs="Arial"/>
          <w:sz w:val="20"/>
        </w:rPr>
        <w:t xml:space="preserve">Maintain accurate and reliable asset data to effectively inform decision-making. </w:t>
      </w:r>
    </w:p>
    <w:p w:rsidR="00632E0E" w:rsidRPr="00AD4CFF" w:rsidRDefault="00632E0E" w:rsidP="00632E0E">
      <w:pPr>
        <w:jc w:val="both"/>
        <w:rPr>
          <w:rFonts w:cs="Arial"/>
        </w:rPr>
      </w:pPr>
    </w:p>
    <w:p w:rsidR="00632E0E" w:rsidRDefault="00632E0E" w:rsidP="00632E0E">
      <w:pPr>
        <w:rPr>
          <w:rFonts w:cs="Arial"/>
        </w:rPr>
      </w:pPr>
      <w:r w:rsidRPr="00F4299E">
        <w:rPr>
          <w:rFonts w:cs="Arial"/>
        </w:rPr>
        <w:t>It is intended that the policy objectives will be achieved through the following:</w:t>
      </w:r>
    </w:p>
    <w:p w:rsidR="00AD4CFF" w:rsidRPr="00F4299E" w:rsidRDefault="00AD4CFF" w:rsidP="00632E0E">
      <w:pPr>
        <w:rPr>
          <w:rFonts w:cs="Arial"/>
        </w:rPr>
      </w:pP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The development of a 10 Year Strategic Asset Management Plan (SAMP) to support EMRC’s corporate strategic and business planning; </w:t>
      </w: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The development of a 5 Year Operational Asset Management Plan </w:t>
      </w:r>
      <w:r w:rsidR="008F38F8">
        <w:rPr>
          <w:rFonts w:ascii="Arial" w:hAnsi="Arial" w:cs="Arial"/>
          <w:sz w:val="20"/>
        </w:rPr>
        <w:t xml:space="preserve">(OAMP) </w:t>
      </w:r>
      <w:r w:rsidRPr="00F4299E">
        <w:rPr>
          <w:rFonts w:ascii="Arial" w:hAnsi="Arial" w:cs="Arial"/>
          <w:sz w:val="20"/>
        </w:rPr>
        <w:t>which provides detailed action plans on key initiatives to be delivered in the next 5 financial years to support the SAMP;</w:t>
      </w: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Identification of existing and new asset requirements based on changes in demands and service levels as part of asset management planning; </w:t>
      </w:r>
    </w:p>
    <w:p w:rsidR="00632E0E" w:rsidRPr="00F4299E" w:rsidRDefault="00632E0E" w:rsidP="00AD4CFF">
      <w:pPr>
        <w:pStyle w:val="ListParagraph"/>
        <w:numPr>
          <w:ilvl w:val="0"/>
          <w:numId w:val="20"/>
        </w:numPr>
        <w:spacing w:after="120"/>
        <w:ind w:left="426" w:hanging="426"/>
        <w:contextualSpacing w:val="0"/>
        <w:jc w:val="both"/>
        <w:rPr>
          <w:rFonts w:ascii="Arial" w:hAnsi="Arial" w:cs="Arial"/>
          <w:sz w:val="20"/>
        </w:rPr>
      </w:pPr>
      <w:r w:rsidRPr="00F4299E">
        <w:rPr>
          <w:rFonts w:ascii="Arial" w:hAnsi="Arial" w:cs="Arial"/>
          <w:sz w:val="20"/>
        </w:rPr>
        <w:t xml:space="preserve">Establishment of clear roles and responsibilities for asset management; and  </w:t>
      </w:r>
    </w:p>
    <w:p w:rsidR="00632E0E" w:rsidRPr="00F4299E" w:rsidRDefault="00632E0E" w:rsidP="00AD4CFF">
      <w:pPr>
        <w:pStyle w:val="ListParagraph"/>
        <w:numPr>
          <w:ilvl w:val="0"/>
          <w:numId w:val="20"/>
        </w:numPr>
        <w:ind w:left="426" w:hanging="426"/>
        <w:contextualSpacing w:val="0"/>
        <w:jc w:val="both"/>
        <w:rPr>
          <w:rFonts w:ascii="Arial" w:hAnsi="Arial" w:cs="Arial"/>
          <w:sz w:val="20"/>
        </w:rPr>
      </w:pPr>
      <w:r w:rsidRPr="00F4299E">
        <w:rPr>
          <w:rFonts w:ascii="Arial" w:hAnsi="Arial" w:cs="Arial"/>
          <w:sz w:val="20"/>
        </w:rPr>
        <w:t xml:space="preserve">Utilisation of an integrated asset management and financial management information system to maintain asset data. </w:t>
      </w:r>
    </w:p>
    <w:p w:rsidR="00632E0E" w:rsidRDefault="00632E0E" w:rsidP="00632E0E">
      <w:pPr>
        <w:pStyle w:val="Heading1"/>
        <w:rPr>
          <w:color w:val="B08E00"/>
        </w:rPr>
      </w:pPr>
      <w:r>
        <w:rPr>
          <w:color w:val="B08E00"/>
        </w:rPr>
        <w:t>ROLES AND RESPONSIBILITIES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11"/>
      </w:tblGrid>
      <w:tr w:rsidR="00F4299E" w:rsidRPr="00C24D3B" w:rsidTr="003807E3">
        <w:trPr>
          <w:tblHeader/>
          <w:jc w:val="center"/>
        </w:trPr>
        <w:tc>
          <w:tcPr>
            <w:tcW w:w="2978" w:type="dxa"/>
            <w:shd w:val="clear" w:color="auto" w:fill="BFBFBF" w:themeFill="background1" w:themeFillShade="BF"/>
          </w:tcPr>
          <w:p w:rsidR="00F4299E" w:rsidRPr="003807E3" w:rsidRDefault="00F4299E" w:rsidP="009B2510">
            <w:pPr>
              <w:spacing w:before="120" w:after="120"/>
              <w:jc w:val="both"/>
              <w:rPr>
                <w:rFonts w:cs="Arial"/>
                <w:b/>
                <w:lang w:eastAsia="en-AU"/>
              </w:rPr>
            </w:pPr>
            <w:r w:rsidRPr="003807E3">
              <w:rPr>
                <w:rFonts w:cs="Arial"/>
                <w:b/>
                <w:lang w:eastAsia="en-AU"/>
              </w:rPr>
              <w:t>Position</w:t>
            </w:r>
          </w:p>
        </w:tc>
        <w:tc>
          <w:tcPr>
            <w:tcW w:w="5811" w:type="dxa"/>
            <w:shd w:val="clear" w:color="auto" w:fill="BFBFBF" w:themeFill="background1" w:themeFillShade="BF"/>
          </w:tcPr>
          <w:p w:rsidR="00F4299E" w:rsidRPr="003807E3" w:rsidRDefault="00F4299E" w:rsidP="009B2510">
            <w:pPr>
              <w:spacing w:before="120" w:after="120"/>
              <w:jc w:val="both"/>
              <w:rPr>
                <w:rFonts w:cs="Arial"/>
                <w:b/>
                <w:lang w:eastAsia="en-AU"/>
              </w:rPr>
            </w:pPr>
            <w:r w:rsidRPr="003807E3">
              <w:rPr>
                <w:rFonts w:cs="Arial"/>
                <w:b/>
                <w:lang w:eastAsia="en-AU"/>
              </w:rPr>
              <w:t>Roles and Responsibilities</w:t>
            </w:r>
          </w:p>
        </w:tc>
      </w:tr>
      <w:tr w:rsidR="00F4299E" w:rsidRPr="00F4299E" w:rsidTr="009B2510">
        <w:trPr>
          <w:jc w:val="center"/>
        </w:trPr>
        <w:tc>
          <w:tcPr>
            <w:tcW w:w="2978" w:type="dxa"/>
          </w:tcPr>
          <w:p w:rsidR="00F4299E" w:rsidRPr="00F4299E" w:rsidRDefault="00F4299E" w:rsidP="009B2510">
            <w:pPr>
              <w:spacing w:before="120" w:after="120"/>
              <w:jc w:val="both"/>
              <w:rPr>
                <w:rFonts w:eastAsia="Calibri" w:cs="Arial"/>
              </w:rPr>
            </w:pPr>
            <w:r w:rsidRPr="00F4299E">
              <w:rPr>
                <w:rFonts w:eastAsia="Calibri" w:cs="Arial"/>
              </w:rPr>
              <w:t>Council</w:t>
            </w:r>
          </w:p>
        </w:tc>
        <w:tc>
          <w:tcPr>
            <w:tcW w:w="5811" w:type="dxa"/>
          </w:tcPr>
          <w:p w:rsidR="00F4299E" w:rsidRPr="00F4299E" w:rsidRDefault="00F4299E" w:rsidP="00F4299E">
            <w:pPr>
              <w:pStyle w:val="ListParagraph"/>
              <w:numPr>
                <w:ilvl w:val="0"/>
                <w:numId w:val="22"/>
              </w:numPr>
              <w:spacing w:before="120" w:after="120"/>
              <w:rPr>
                <w:rFonts w:ascii="Arial" w:eastAsia="Calibri" w:hAnsi="Arial" w:cs="Arial"/>
                <w:sz w:val="20"/>
              </w:rPr>
            </w:pPr>
            <w:r w:rsidRPr="00F4299E">
              <w:rPr>
                <w:rFonts w:ascii="Arial" w:eastAsia="Calibri" w:hAnsi="Arial" w:cs="Arial"/>
                <w:sz w:val="20"/>
              </w:rPr>
              <w:t>Act as stewards for all assets owned by EMRC</w:t>
            </w:r>
          </w:p>
          <w:p w:rsidR="00F4299E" w:rsidRPr="00F4299E" w:rsidRDefault="00F4299E" w:rsidP="00F4299E">
            <w:pPr>
              <w:pStyle w:val="ListParagraph"/>
              <w:numPr>
                <w:ilvl w:val="0"/>
                <w:numId w:val="22"/>
              </w:numPr>
              <w:spacing w:before="120" w:after="120"/>
              <w:rPr>
                <w:rFonts w:ascii="Arial" w:eastAsia="Calibri" w:hAnsi="Arial" w:cs="Arial"/>
                <w:sz w:val="20"/>
              </w:rPr>
            </w:pPr>
            <w:r w:rsidRPr="00F4299E">
              <w:rPr>
                <w:rFonts w:ascii="Arial" w:eastAsia="Calibri" w:hAnsi="Arial" w:cs="Arial"/>
                <w:sz w:val="20"/>
              </w:rPr>
              <w:t>Provides strategic direction for asset management</w:t>
            </w:r>
          </w:p>
          <w:p w:rsidR="00F4299E" w:rsidRPr="00F4299E" w:rsidRDefault="00F4299E" w:rsidP="00F4299E">
            <w:pPr>
              <w:pStyle w:val="ListParagraph"/>
              <w:numPr>
                <w:ilvl w:val="0"/>
                <w:numId w:val="22"/>
              </w:numPr>
              <w:spacing w:before="120" w:after="120"/>
              <w:rPr>
                <w:rFonts w:ascii="Arial" w:eastAsia="Calibri" w:hAnsi="Arial" w:cs="Arial"/>
                <w:sz w:val="20"/>
              </w:rPr>
            </w:pPr>
            <w:r w:rsidRPr="00F4299E">
              <w:rPr>
                <w:rFonts w:ascii="Arial" w:eastAsia="Calibri" w:hAnsi="Arial" w:cs="Arial"/>
                <w:sz w:val="20"/>
              </w:rPr>
              <w:t>Endorses asset</w:t>
            </w:r>
            <w:r w:rsidR="00A55C1B">
              <w:rPr>
                <w:rFonts w:ascii="Arial" w:eastAsia="Calibri" w:hAnsi="Arial" w:cs="Arial"/>
                <w:sz w:val="20"/>
              </w:rPr>
              <w:t xml:space="preserve"> management policy and strategy</w:t>
            </w:r>
          </w:p>
          <w:p w:rsidR="00F4299E" w:rsidRPr="00F4299E" w:rsidRDefault="00F4299E" w:rsidP="00F4299E">
            <w:pPr>
              <w:pStyle w:val="ListParagraph"/>
              <w:numPr>
                <w:ilvl w:val="0"/>
                <w:numId w:val="22"/>
              </w:numPr>
              <w:spacing w:before="120" w:after="120"/>
              <w:rPr>
                <w:rFonts w:ascii="Arial" w:eastAsia="Calibri" w:hAnsi="Arial" w:cs="Arial"/>
                <w:sz w:val="20"/>
              </w:rPr>
            </w:pPr>
            <w:r w:rsidRPr="00F4299E">
              <w:rPr>
                <w:rFonts w:ascii="Arial" w:eastAsia="Calibri" w:hAnsi="Arial" w:cs="Arial"/>
                <w:sz w:val="20"/>
              </w:rPr>
              <w:t>Endorses SAMP (as part of strategic planning) and OAMP (as part of budget process)</w:t>
            </w:r>
          </w:p>
        </w:tc>
      </w:tr>
      <w:tr w:rsidR="00F4299E" w:rsidRPr="00F4299E" w:rsidTr="009B2510">
        <w:trPr>
          <w:jc w:val="center"/>
        </w:trPr>
        <w:tc>
          <w:tcPr>
            <w:tcW w:w="2978" w:type="dxa"/>
          </w:tcPr>
          <w:p w:rsidR="00F4299E" w:rsidRPr="00F4299E" w:rsidRDefault="00F4299E" w:rsidP="009B2510">
            <w:pPr>
              <w:spacing w:before="120" w:after="120"/>
              <w:rPr>
                <w:rFonts w:eastAsia="Calibri" w:cs="Arial"/>
              </w:rPr>
            </w:pPr>
            <w:r w:rsidRPr="00F4299E">
              <w:rPr>
                <w:rFonts w:eastAsia="Calibri" w:cs="Arial"/>
              </w:rPr>
              <w:t xml:space="preserve">Chief Executive Officer </w:t>
            </w:r>
          </w:p>
        </w:tc>
        <w:tc>
          <w:tcPr>
            <w:tcW w:w="5811" w:type="dxa"/>
          </w:tcPr>
          <w:p w:rsidR="00F4299E" w:rsidRPr="00F4299E" w:rsidRDefault="008D6916" w:rsidP="00F4299E">
            <w:pPr>
              <w:pStyle w:val="ListParagraph"/>
              <w:numPr>
                <w:ilvl w:val="0"/>
                <w:numId w:val="23"/>
              </w:numPr>
              <w:spacing w:before="120" w:after="120"/>
              <w:rPr>
                <w:rFonts w:ascii="Arial" w:eastAsia="Calibri" w:hAnsi="Arial" w:cs="Arial"/>
                <w:sz w:val="20"/>
              </w:rPr>
            </w:pPr>
            <w:r>
              <w:rPr>
                <w:rFonts w:ascii="Arial" w:eastAsia="Calibri" w:hAnsi="Arial" w:cs="Arial"/>
                <w:sz w:val="20"/>
              </w:rPr>
              <w:t>Develops</w:t>
            </w:r>
            <w:r w:rsidR="00F4299E" w:rsidRPr="00F4299E">
              <w:rPr>
                <w:rFonts w:ascii="Arial" w:eastAsia="Calibri" w:hAnsi="Arial" w:cs="Arial"/>
                <w:sz w:val="20"/>
              </w:rPr>
              <w:t xml:space="preserve"> asset management policy and strategy for submission to Council</w:t>
            </w:r>
          </w:p>
          <w:p w:rsidR="00F4299E" w:rsidRPr="00F4299E" w:rsidRDefault="008D6916" w:rsidP="00F4299E">
            <w:pPr>
              <w:pStyle w:val="ListParagraph"/>
              <w:numPr>
                <w:ilvl w:val="0"/>
                <w:numId w:val="23"/>
              </w:numPr>
              <w:spacing w:before="120" w:after="120"/>
              <w:rPr>
                <w:rFonts w:ascii="Arial" w:eastAsia="Calibri" w:hAnsi="Arial" w:cs="Arial"/>
                <w:sz w:val="20"/>
              </w:rPr>
            </w:pPr>
            <w:r>
              <w:rPr>
                <w:rFonts w:ascii="Arial" w:eastAsia="Calibri" w:hAnsi="Arial" w:cs="Arial"/>
                <w:sz w:val="20"/>
              </w:rPr>
              <w:t>Develops</w:t>
            </w:r>
            <w:r w:rsidRPr="00F4299E">
              <w:rPr>
                <w:rFonts w:ascii="Arial" w:eastAsia="Calibri" w:hAnsi="Arial" w:cs="Arial"/>
                <w:sz w:val="20"/>
              </w:rPr>
              <w:t xml:space="preserve"> </w:t>
            </w:r>
            <w:r w:rsidR="00F4299E" w:rsidRPr="00F4299E">
              <w:rPr>
                <w:rFonts w:ascii="Arial" w:eastAsia="Calibri" w:hAnsi="Arial" w:cs="Arial"/>
                <w:sz w:val="20"/>
              </w:rPr>
              <w:t>SAMP for submission to Council</w:t>
            </w:r>
          </w:p>
          <w:p w:rsidR="00F4299E" w:rsidRPr="00F4299E" w:rsidRDefault="008D6916" w:rsidP="00F4299E">
            <w:pPr>
              <w:pStyle w:val="ListParagraph"/>
              <w:numPr>
                <w:ilvl w:val="0"/>
                <w:numId w:val="23"/>
              </w:numPr>
              <w:spacing w:before="120" w:after="120"/>
              <w:rPr>
                <w:rFonts w:ascii="Arial" w:eastAsia="Calibri" w:hAnsi="Arial" w:cs="Arial"/>
                <w:sz w:val="20"/>
              </w:rPr>
            </w:pPr>
            <w:r>
              <w:rPr>
                <w:rFonts w:ascii="Arial" w:eastAsia="Calibri" w:hAnsi="Arial" w:cs="Arial"/>
                <w:sz w:val="20"/>
              </w:rPr>
              <w:t>Develops</w:t>
            </w:r>
            <w:r w:rsidRPr="00F4299E">
              <w:rPr>
                <w:rFonts w:ascii="Arial" w:eastAsia="Calibri" w:hAnsi="Arial" w:cs="Arial"/>
                <w:sz w:val="20"/>
              </w:rPr>
              <w:t xml:space="preserve"> </w:t>
            </w:r>
            <w:r w:rsidR="00F4299E" w:rsidRPr="00F4299E">
              <w:rPr>
                <w:rFonts w:ascii="Arial" w:eastAsia="Calibri" w:hAnsi="Arial" w:cs="Arial"/>
                <w:sz w:val="20"/>
              </w:rPr>
              <w:t>OAMP</w:t>
            </w:r>
          </w:p>
          <w:p w:rsidR="00F4299E" w:rsidRPr="00F4299E" w:rsidRDefault="008D6916" w:rsidP="00F4299E">
            <w:pPr>
              <w:pStyle w:val="ListParagraph"/>
              <w:numPr>
                <w:ilvl w:val="0"/>
                <w:numId w:val="23"/>
              </w:numPr>
              <w:spacing w:before="120" w:after="120"/>
              <w:rPr>
                <w:rFonts w:ascii="Arial" w:eastAsia="Calibri" w:hAnsi="Arial" w:cs="Arial"/>
                <w:sz w:val="20"/>
              </w:rPr>
            </w:pPr>
            <w:r>
              <w:rPr>
                <w:rFonts w:ascii="Arial" w:eastAsia="Calibri" w:hAnsi="Arial" w:cs="Arial"/>
                <w:sz w:val="20"/>
              </w:rPr>
              <w:t>Develops</w:t>
            </w:r>
            <w:r w:rsidRPr="00F4299E">
              <w:rPr>
                <w:rFonts w:ascii="Arial" w:eastAsia="Calibri" w:hAnsi="Arial" w:cs="Arial"/>
                <w:sz w:val="20"/>
              </w:rPr>
              <w:t xml:space="preserve"> </w:t>
            </w:r>
            <w:r w:rsidR="00F4299E" w:rsidRPr="00F4299E">
              <w:rPr>
                <w:rFonts w:ascii="Arial" w:eastAsia="Calibri" w:hAnsi="Arial" w:cs="Arial"/>
                <w:sz w:val="20"/>
              </w:rPr>
              <w:t>business cases</w:t>
            </w:r>
          </w:p>
          <w:p w:rsidR="00F4299E" w:rsidRPr="00F4299E" w:rsidRDefault="00F4299E" w:rsidP="00F4299E">
            <w:pPr>
              <w:pStyle w:val="ListParagraph"/>
              <w:numPr>
                <w:ilvl w:val="0"/>
                <w:numId w:val="23"/>
              </w:numPr>
              <w:spacing w:before="120" w:after="120"/>
              <w:rPr>
                <w:rFonts w:ascii="Arial" w:eastAsia="Calibri" w:hAnsi="Arial" w:cs="Arial"/>
                <w:sz w:val="20"/>
              </w:rPr>
            </w:pPr>
            <w:r w:rsidRPr="00F4299E">
              <w:rPr>
                <w:rFonts w:ascii="Arial" w:eastAsia="Calibri" w:hAnsi="Arial" w:cs="Arial"/>
                <w:sz w:val="20"/>
              </w:rPr>
              <w:t>Monitors and reports progress of SAMP and OAMP to Council as required</w:t>
            </w:r>
          </w:p>
        </w:tc>
      </w:tr>
    </w:tbl>
    <w:p w:rsidR="00814F7F" w:rsidRDefault="00814F7F"/>
    <w:p w:rsidR="00814F7F" w:rsidRDefault="00814F7F">
      <w:r>
        <w:br w:type="page"/>
      </w:r>
    </w:p>
    <w:p w:rsidR="00A55C1B" w:rsidRDefault="00A55C1B"/>
    <w:p w:rsidR="00A55C1B" w:rsidRDefault="00A55C1B"/>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11"/>
      </w:tblGrid>
      <w:tr w:rsidR="00E81A23" w:rsidRPr="00F4299E" w:rsidTr="003807E3">
        <w:trPr>
          <w:jc w:val="center"/>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1A23" w:rsidRPr="00A55C1B" w:rsidRDefault="00E81A23" w:rsidP="00A55C1B">
            <w:pPr>
              <w:spacing w:before="120" w:after="120"/>
              <w:jc w:val="both"/>
              <w:rPr>
                <w:rFonts w:cs="Arial"/>
                <w:b/>
                <w:color w:val="FFFFFF"/>
                <w:lang w:eastAsia="en-AU"/>
              </w:rPr>
            </w:pPr>
            <w:r w:rsidRPr="00970D32">
              <w:rPr>
                <w:rFonts w:cs="Arial"/>
                <w:b/>
                <w:lang w:eastAsia="en-AU"/>
              </w:rPr>
              <w:t>Position</w:t>
            </w:r>
          </w:p>
        </w:tc>
        <w:tc>
          <w:tcPr>
            <w:tcW w:w="5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1A23" w:rsidRPr="00A55C1B" w:rsidRDefault="00E81A23" w:rsidP="00A55C1B">
            <w:pPr>
              <w:spacing w:before="120" w:after="120"/>
              <w:jc w:val="both"/>
              <w:rPr>
                <w:rFonts w:cs="Arial"/>
                <w:b/>
                <w:color w:val="FFFFFF"/>
                <w:lang w:eastAsia="en-AU"/>
              </w:rPr>
            </w:pPr>
            <w:r w:rsidRPr="00970D32">
              <w:rPr>
                <w:rFonts w:cs="Arial"/>
                <w:b/>
                <w:lang w:eastAsia="en-AU"/>
              </w:rPr>
              <w:t>Roles and Responsibilities</w:t>
            </w:r>
          </w:p>
        </w:tc>
      </w:tr>
      <w:tr w:rsidR="00F4299E" w:rsidRPr="00F4299E" w:rsidTr="009B2510">
        <w:trPr>
          <w:jc w:val="center"/>
        </w:trPr>
        <w:tc>
          <w:tcPr>
            <w:tcW w:w="2978" w:type="dxa"/>
          </w:tcPr>
          <w:p w:rsidR="00F4299E" w:rsidRPr="00F4299E" w:rsidRDefault="00F4299E" w:rsidP="009B2510">
            <w:pPr>
              <w:spacing w:before="120" w:after="120"/>
              <w:jc w:val="both"/>
              <w:rPr>
                <w:rFonts w:eastAsia="Calibri" w:cs="Arial"/>
              </w:rPr>
            </w:pPr>
            <w:r w:rsidRPr="00F4299E">
              <w:rPr>
                <w:rFonts w:eastAsia="Calibri" w:cs="Arial"/>
              </w:rPr>
              <w:t>Director</w:t>
            </w:r>
            <w:r w:rsidR="008D7F4A">
              <w:rPr>
                <w:rFonts w:eastAsia="Calibri" w:cs="Arial"/>
              </w:rPr>
              <w:t>s</w:t>
            </w:r>
          </w:p>
        </w:tc>
        <w:tc>
          <w:tcPr>
            <w:tcW w:w="5811" w:type="dxa"/>
          </w:tcPr>
          <w:p w:rsidR="00F4299E" w:rsidRPr="00F4299E" w:rsidRDefault="00F4299E" w:rsidP="00F4299E">
            <w:pPr>
              <w:pStyle w:val="ListParagraph"/>
              <w:numPr>
                <w:ilvl w:val="0"/>
                <w:numId w:val="24"/>
              </w:numPr>
              <w:spacing w:before="120" w:after="120"/>
              <w:rPr>
                <w:rFonts w:ascii="Arial" w:eastAsia="Calibri" w:hAnsi="Arial" w:cs="Arial"/>
                <w:sz w:val="20"/>
              </w:rPr>
            </w:pPr>
            <w:r w:rsidRPr="00F4299E">
              <w:rPr>
                <w:rFonts w:ascii="Arial" w:eastAsia="Calibri" w:hAnsi="Arial" w:cs="Arial"/>
                <w:sz w:val="20"/>
              </w:rPr>
              <w:t>Contribute towards preparation of SAMP and OAMP</w:t>
            </w:r>
          </w:p>
          <w:p w:rsidR="00F4299E" w:rsidRPr="00F4299E" w:rsidRDefault="00F4299E" w:rsidP="00B639D6">
            <w:pPr>
              <w:pStyle w:val="ListParagraph"/>
              <w:numPr>
                <w:ilvl w:val="0"/>
                <w:numId w:val="24"/>
              </w:numPr>
              <w:spacing w:before="120" w:after="120"/>
              <w:rPr>
                <w:rFonts w:ascii="Arial" w:eastAsia="Calibri" w:hAnsi="Arial" w:cs="Arial"/>
                <w:sz w:val="20"/>
              </w:rPr>
            </w:pPr>
            <w:r w:rsidRPr="00F4299E">
              <w:rPr>
                <w:rFonts w:ascii="Arial" w:eastAsia="Calibri" w:hAnsi="Arial" w:cs="Arial"/>
                <w:sz w:val="20"/>
              </w:rPr>
              <w:t>Authorise asset additions and disposals in accordance with the approved OAMP</w:t>
            </w:r>
          </w:p>
          <w:p w:rsidR="00F4299E" w:rsidRPr="00F4299E" w:rsidRDefault="00F4299E" w:rsidP="00792B0E">
            <w:pPr>
              <w:pStyle w:val="ListParagraph"/>
              <w:numPr>
                <w:ilvl w:val="0"/>
                <w:numId w:val="24"/>
              </w:numPr>
              <w:spacing w:before="120" w:after="120"/>
              <w:rPr>
                <w:rFonts w:ascii="Arial" w:eastAsia="Calibri" w:hAnsi="Arial" w:cs="Arial"/>
                <w:sz w:val="20"/>
              </w:rPr>
            </w:pPr>
            <w:r w:rsidRPr="00F4299E">
              <w:rPr>
                <w:rFonts w:ascii="Arial" w:eastAsia="Calibri" w:hAnsi="Arial" w:cs="Arial"/>
                <w:sz w:val="20"/>
              </w:rPr>
              <w:t>Maintain oversight over assets under their control (including usage, safeguards, risk management and insurance)</w:t>
            </w:r>
          </w:p>
        </w:tc>
      </w:tr>
      <w:tr w:rsidR="00F4299E" w:rsidRPr="00F4299E" w:rsidTr="009B2510">
        <w:trPr>
          <w:jc w:val="center"/>
        </w:trPr>
        <w:tc>
          <w:tcPr>
            <w:tcW w:w="2978" w:type="dxa"/>
          </w:tcPr>
          <w:p w:rsidR="00F4299E" w:rsidRPr="00F4299E" w:rsidRDefault="00F4299E" w:rsidP="009B2510">
            <w:pPr>
              <w:spacing w:before="120" w:after="120"/>
              <w:jc w:val="both"/>
              <w:rPr>
                <w:rFonts w:eastAsia="Calibri" w:cs="Arial"/>
              </w:rPr>
            </w:pPr>
            <w:r w:rsidRPr="00F4299E">
              <w:rPr>
                <w:rFonts w:eastAsia="Calibri" w:cs="Arial"/>
              </w:rPr>
              <w:t>Asset Officer</w:t>
            </w:r>
          </w:p>
        </w:tc>
        <w:tc>
          <w:tcPr>
            <w:tcW w:w="5811" w:type="dxa"/>
          </w:tcPr>
          <w:p w:rsidR="00F4299E" w:rsidRPr="00F4299E" w:rsidRDefault="00F4299E" w:rsidP="00F4299E">
            <w:pPr>
              <w:pStyle w:val="ListParagraph"/>
              <w:numPr>
                <w:ilvl w:val="0"/>
                <w:numId w:val="25"/>
              </w:numPr>
              <w:spacing w:before="120" w:after="120"/>
              <w:rPr>
                <w:rFonts w:ascii="Arial" w:eastAsia="Calibri" w:hAnsi="Arial" w:cs="Arial"/>
                <w:sz w:val="20"/>
              </w:rPr>
            </w:pPr>
            <w:r w:rsidRPr="00F4299E">
              <w:rPr>
                <w:rFonts w:ascii="Arial" w:eastAsia="Calibri" w:hAnsi="Arial" w:cs="Arial"/>
                <w:sz w:val="20"/>
              </w:rPr>
              <w:t>Maintains Asset Register and asset related records</w:t>
            </w:r>
          </w:p>
          <w:p w:rsidR="00F4299E" w:rsidRPr="00F4299E" w:rsidRDefault="00F4299E" w:rsidP="00F4299E">
            <w:pPr>
              <w:pStyle w:val="ListParagraph"/>
              <w:numPr>
                <w:ilvl w:val="0"/>
                <w:numId w:val="25"/>
              </w:numPr>
              <w:spacing w:before="120" w:after="120"/>
              <w:rPr>
                <w:rFonts w:ascii="Arial" w:eastAsia="Calibri" w:hAnsi="Arial" w:cs="Arial"/>
                <w:sz w:val="20"/>
              </w:rPr>
            </w:pPr>
            <w:r w:rsidRPr="00F4299E">
              <w:rPr>
                <w:rFonts w:ascii="Arial" w:eastAsia="Calibri" w:hAnsi="Arial" w:cs="Arial"/>
                <w:sz w:val="20"/>
              </w:rPr>
              <w:t>Updates General Ledger for asset related transactions (including depreciation, write off, acquisition and disposal)</w:t>
            </w:r>
          </w:p>
          <w:p w:rsidR="00F4299E" w:rsidRPr="00F4299E" w:rsidRDefault="00F4299E" w:rsidP="00F4299E">
            <w:pPr>
              <w:pStyle w:val="ListParagraph"/>
              <w:numPr>
                <w:ilvl w:val="0"/>
                <w:numId w:val="25"/>
              </w:numPr>
              <w:spacing w:before="120" w:after="120"/>
              <w:rPr>
                <w:rFonts w:ascii="Arial" w:eastAsia="Calibri" w:hAnsi="Arial" w:cs="Arial"/>
                <w:sz w:val="20"/>
              </w:rPr>
            </w:pPr>
            <w:r w:rsidRPr="00F4299E">
              <w:rPr>
                <w:rFonts w:ascii="Arial" w:eastAsia="Calibri" w:hAnsi="Arial" w:cs="Arial"/>
                <w:sz w:val="20"/>
              </w:rPr>
              <w:t>Provides assistance to business unit as required</w:t>
            </w:r>
          </w:p>
        </w:tc>
      </w:tr>
      <w:tr w:rsidR="00F4299E" w:rsidRPr="00F4299E" w:rsidTr="009B2510">
        <w:trPr>
          <w:jc w:val="center"/>
        </w:trPr>
        <w:tc>
          <w:tcPr>
            <w:tcW w:w="2978" w:type="dxa"/>
          </w:tcPr>
          <w:p w:rsidR="00F4299E" w:rsidRPr="00F4299E" w:rsidRDefault="00F4299E" w:rsidP="009B2510">
            <w:pPr>
              <w:spacing w:before="120" w:after="120"/>
              <w:jc w:val="both"/>
              <w:rPr>
                <w:rFonts w:eastAsia="Calibri" w:cs="Arial"/>
              </w:rPr>
            </w:pPr>
            <w:r w:rsidRPr="00F4299E">
              <w:rPr>
                <w:rFonts w:eastAsia="Calibri" w:cs="Arial"/>
              </w:rPr>
              <w:t>Staff</w:t>
            </w:r>
          </w:p>
        </w:tc>
        <w:tc>
          <w:tcPr>
            <w:tcW w:w="5811" w:type="dxa"/>
          </w:tcPr>
          <w:p w:rsidR="00F4299E" w:rsidRPr="00F4299E" w:rsidRDefault="00F4299E" w:rsidP="00F4299E">
            <w:pPr>
              <w:pStyle w:val="ListParagraph"/>
              <w:numPr>
                <w:ilvl w:val="0"/>
                <w:numId w:val="26"/>
              </w:numPr>
              <w:spacing w:before="120" w:after="120"/>
              <w:rPr>
                <w:rFonts w:ascii="Arial" w:eastAsia="Calibri" w:hAnsi="Arial" w:cs="Arial"/>
                <w:sz w:val="20"/>
              </w:rPr>
            </w:pPr>
            <w:r w:rsidRPr="00F4299E">
              <w:rPr>
                <w:rFonts w:ascii="Arial" w:eastAsia="Calibri" w:hAnsi="Arial" w:cs="Arial"/>
                <w:sz w:val="20"/>
              </w:rPr>
              <w:t>Initiate acquisition or disposal requests</w:t>
            </w:r>
          </w:p>
          <w:p w:rsidR="00F4299E" w:rsidRPr="00F4299E" w:rsidRDefault="00F4299E" w:rsidP="00F4299E">
            <w:pPr>
              <w:pStyle w:val="ListParagraph"/>
              <w:numPr>
                <w:ilvl w:val="0"/>
                <w:numId w:val="26"/>
              </w:numPr>
              <w:spacing w:before="120" w:after="120"/>
              <w:rPr>
                <w:rFonts w:ascii="Arial" w:eastAsia="Calibri" w:hAnsi="Arial" w:cs="Arial"/>
                <w:sz w:val="20"/>
              </w:rPr>
            </w:pPr>
            <w:r w:rsidRPr="00F4299E">
              <w:rPr>
                <w:rFonts w:ascii="Arial" w:eastAsia="Calibri" w:hAnsi="Arial" w:cs="Arial"/>
                <w:sz w:val="20"/>
              </w:rPr>
              <w:t>Utilise assets in a responsible manner</w:t>
            </w:r>
          </w:p>
        </w:tc>
      </w:tr>
    </w:tbl>
    <w:p w:rsidR="008C345D" w:rsidRPr="00C24D3B" w:rsidRDefault="008C345D">
      <w:pPr>
        <w:pStyle w:val="Heading1"/>
        <w:rPr>
          <w:b/>
          <w:color w:val="B08E00"/>
        </w:rPr>
      </w:pPr>
      <w:r w:rsidRPr="00C24D3B">
        <w:rPr>
          <w:b/>
          <w:color w:val="B08E00"/>
        </w:rPr>
        <w:t>FINANCIAL CONSIDERATIONS</w:t>
      </w:r>
    </w:p>
    <w:p w:rsidR="008C345D" w:rsidRDefault="00CD6D7A">
      <w:pPr>
        <w:jc w:val="both"/>
      </w:pPr>
      <w:r>
        <w:t>The EMRC prepares its financial reports in accordance with Australian Accounting Standards as they apply to local governments, Australian Accounting Interpretations, other authoritative pronouncements of the Australian Accounting Standards Board, the Local Government Act 1995 and accompanying regulations.</w:t>
      </w:r>
    </w:p>
    <w:p w:rsidR="00CD6D7A" w:rsidRDefault="00CD6D7A">
      <w:pPr>
        <w:jc w:val="both"/>
      </w:pPr>
    </w:p>
    <w:p w:rsidR="00CD6D7A" w:rsidRDefault="00CD6D7A">
      <w:pPr>
        <w:jc w:val="both"/>
      </w:pPr>
      <w:r>
        <w:t xml:space="preserve">The EMRC reports on the </w:t>
      </w:r>
      <w:r w:rsidR="00DC0B47">
        <w:t>classes</w:t>
      </w:r>
      <w:r>
        <w:t xml:space="preserve"> of assets including:</w:t>
      </w:r>
    </w:p>
    <w:p w:rsidR="00CD6D7A" w:rsidRDefault="00CD6D7A">
      <w:pPr>
        <w:jc w:val="both"/>
      </w:pP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Land</w:t>
      </w:r>
      <w:r w:rsidR="00666169">
        <w:rPr>
          <w:rFonts w:ascii="Arial" w:hAnsi="Arial" w:cs="Arial"/>
          <w:sz w:val="20"/>
        </w:rPr>
        <w:t>;</w:t>
      </w: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Buildings</w:t>
      </w:r>
      <w:r w:rsidR="00666169">
        <w:rPr>
          <w:rFonts w:ascii="Arial" w:hAnsi="Arial" w:cs="Arial"/>
          <w:sz w:val="20"/>
        </w:rPr>
        <w:t>;</w:t>
      </w: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Structures</w:t>
      </w:r>
      <w:r w:rsidR="00666169">
        <w:rPr>
          <w:rFonts w:ascii="Arial" w:hAnsi="Arial" w:cs="Arial"/>
          <w:sz w:val="20"/>
        </w:rPr>
        <w:t>;</w:t>
      </w: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Plant</w:t>
      </w:r>
      <w:r w:rsidR="00666169">
        <w:rPr>
          <w:rFonts w:ascii="Arial" w:hAnsi="Arial" w:cs="Arial"/>
          <w:sz w:val="20"/>
        </w:rPr>
        <w:t>;</w:t>
      </w: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Equipment</w:t>
      </w:r>
      <w:r w:rsidR="00666169">
        <w:rPr>
          <w:rFonts w:ascii="Arial" w:hAnsi="Arial" w:cs="Arial"/>
          <w:sz w:val="20"/>
        </w:rPr>
        <w:t>;</w:t>
      </w:r>
    </w:p>
    <w:p w:rsidR="00CD6D7A" w:rsidRDefault="00CD6D7A" w:rsidP="00CD6D7A">
      <w:pPr>
        <w:pStyle w:val="ListParagraph"/>
        <w:numPr>
          <w:ilvl w:val="0"/>
          <w:numId w:val="20"/>
        </w:numPr>
        <w:spacing w:after="120"/>
        <w:ind w:left="426" w:hanging="426"/>
        <w:contextualSpacing w:val="0"/>
        <w:jc w:val="both"/>
        <w:rPr>
          <w:rFonts w:ascii="Arial" w:hAnsi="Arial" w:cs="Arial"/>
          <w:sz w:val="20"/>
        </w:rPr>
      </w:pPr>
      <w:r>
        <w:rPr>
          <w:rFonts w:ascii="Arial" w:hAnsi="Arial" w:cs="Arial"/>
          <w:sz w:val="20"/>
        </w:rPr>
        <w:t>Furniture</w:t>
      </w:r>
      <w:r w:rsidR="00666169">
        <w:rPr>
          <w:rFonts w:ascii="Arial" w:hAnsi="Arial" w:cs="Arial"/>
          <w:sz w:val="20"/>
        </w:rPr>
        <w:t>; and</w:t>
      </w:r>
    </w:p>
    <w:p w:rsidR="00CD6D7A" w:rsidRPr="00CD6D7A" w:rsidRDefault="00CD6D7A" w:rsidP="00CD6D7A">
      <w:pPr>
        <w:pStyle w:val="ListParagraph"/>
        <w:numPr>
          <w:ilvl w:val="0"/>
          <w:numId w:val="20"/>
        </w:numPr>
        <w:ind w:left="426" w:hanging="426"/>
        <w:contextualSpacing w:val="0"/>
        <w:jc w:val="both"/>
        <w:rPr>
          <w:rFonts w:ascii="Arial" w:hAnsi="Arial" w:cs="Arial"/>
          <w:sz w:val="20"/>
        </w:rPr>
      </w:pPr>
      <w:r>
        <w:rPr>
          <w:rFonts w:ascii="Arial" w:hAnsi="Arial" w:cs="Arial"/>
          <w:sz w:val="20"/>
        </w:rPr>
        <w:t>Fittings.</w:t>
      </w:r>
    </w:p>
    <w:p w:rsidR="00CD6D7A" w:rsidRDefault="00CD6D7A">
      <w:pPr>
        <w:jc w:val="both"/>
      </w:pPr>
    </w:p>
    <w:p w:rsidR="00F4299E" w:rsidRPr="007E4DC0" w:rsidRDefault="00F4299E" w:rsidP="00F4299E">
      <w:pPr>
        <w:jc w:val="both"/>
      </w:pPr>
      <w:r>
        <w:t>Provisions</w:t>
      </w:r>
      <w:r w:rsidRPr="0045711D">
        <w:t xml:space="preserve"> will be </w:t>
      </w:r>
      <w:r>
        <w:t>included in financial plans and annual budgets.</w:t>
      </w:r>
    </w:p>
    <w:p w:rsidR="008C345D" w:rsidRDefault="008C345D">
      <w:pPr>
        <w:jc w:val="both"/>
      </w:pPr>
    </w:p>
    <w:p w:rsidR="008C345D" w:rsidRDefault="008C345D">
      <w:pPr>
        <w:jc w:val="both"/>
      </w:pPr>
    </w:p>
    <w:p w:rsidR="008C345D" w:rsidRDefault="008C345D">
      <w:pPr>
        <w:pBdr>
          <w:top w:val="single" w:sz="12" w:space="1" w:color="auto"/>
        </w:pBdr>
        <w:jc w:val="both"/>
      </w:pPr>
    </w:p>
    <w:tbl>
      <w:tblPr>
        <w:tblW w:w="0" w:type="auto"/>
        <w:tblLook w:val="01E0" w:firstRow="1" w:lastRow="1" w:firstColumn="1" w:lastColumn="1" w:noHBand="0" w:noVBand="0"/>
      </w:tblPr>
      <w:tblGrid>
        <w:gridCol w:w="4621"/>
        <w:gridCol w:w="4621"/>
      </w:tblGrid>
      <w:tr w:rsidR="008C345D">
        <w:trPr>
          <w:trHeight w:val="282"/>
        </w:trPr>
        <w:tc>
          <w:tcPr>
            <w:tcW w:w="4621" w:type="dxa"/>
          </w:tcPr>
          <w:p w:rsidR="008C345D" w:rsidRDefault="008C345D">
            <w:pPr>
              <w:jc w:val="both"/>
              <w:rPr>
                <w:rFonts w:cs="Arial"/>
              </w:rPr>
            </w:pPr>
            <w:r>
              <w:rPr>
                <w:rFonts w:cs="Arial"/>
              </w:rPr>
              <w:t>Adopted/Reviewed by Council</w:t>
            </w:r>
          </w:p>
          <w:p w:rsidR="008C345D" w:rsidRDefault="008C345D">
            <w:pPr>
              <w:jc w:val="both"/>
              <w:rPr>
                <w:rFonts w:cs="Arial"/>
              </w:rPr>
            </w:pPr>
          </w:p>
        </w:tc>
        <w:tc>
          <w:tcPr>
            <w:tcW w:w="4621" w:type="dxa"/>
          </w:tcPr>
          <w:p w:rsidR="008C345D" w:rsidRDefault="00AD4CFF">
            <w:pPr>
              <w:numPr>
                <w:ilvl w:val="0"/>
                <w:numId w:val="13"/>
              </w:numPr>
              <w:jc w:val="both"/>
              <w:rPr>
                <w:rFonts w:cs="Arial"/>
              </w:rPr>
            </w:pPr>
            <w:r>
              <w:rPr>
                <w:rFonts w:cs="Arial"/>
              </w:rPr>
              <w:t>21 March</w:t>
            </w:r>
            <w:r w:rsidR="00632E0E">
              <w:rPr>
                <w:rFonts w:cs="Arial"/>
              </w:rPr>
              <w:t xml:space="preserve"> 2013</w:t>
            </w:r>
          </w:p>
          <w:p w:rsidR="00F861BD" w:rsidRDefault="00F861BD">
            <w:pPr>
              <w:numPr>
                <w:ilvl w:val="0"/>
                <w:numId w:val="13"/>
              </w:numPr>
              <w:jc w:val="both"/>
              <w:rPr>
                <w:rFonts w:cs="Arial"/>
              </w:rPr>
            </w:pPr>
            <w:r>
              <w:rPr>
                <w:rFonts w:cs="Arial"/>
              </w:rPr>
              <w:t>18 September 2014</w:t>
            </w:r>
          </w:p>
          <w:p w:rsidR="00E81A23" w:rsidRDefault="00E81A23">
            <w:pPr>
              <w:numPr>
                <w:ilvl w:val="0"/>
                <w:numId w:val="13"/>
              </w:numPr>
              <w:jc w:val="both"/>
              <w:rPr>
                <w:rFonts w:cs="Arial"/>
              </w:rPr>
            </w:pPr>
            <w:r>
              <w:rPr>
                <w:rFonts w:cs="Arial"/>
              </w:rPr>
              <w:t>06 December 2018</w:t>
            </w:r>
          </w:p>
          <w:p w:rsidR="008C345D" w:rsidRDefault="008C345D">
            <w:pPr>
              <w:jc w:val="both"/>
              <w:rPr>
                <w:rFonts w:cs="Arial"/>
              </w:rPr>
            </w:pPr>
          </w:p>
        </w:tc>
      </w:tr>
      <w:tr w:rsidR="00632E0E">
        <w:trPr>
          <w:trHeight w:val="280"/>
        </w:trPr>
        <w:tc>
          <w:tcPr>
            <w:tcW w:w="4621" w:type="dxa"/>
          </w:tcPr>
          <w:p w:rsidR="00632E0E" w:rsidRDefault="00632E0E">
            <w:pPr>
              <w:jc w:val="both"/>
              <w:rPr>
                <w:rFonts w:cs="Arial"/>
              </w:rPr>
            </w:pPr>
            <w:r>
              <w:rPr>
                <w:rFonts w:cs="Arial"/>
              </w:rPr>
              <w:t>Next Review</w:t>
            </w:r>
          </w:p>
          <w:p w:rsidR="00632E0E" w:rsidRDefault="00632E0E">
            <w:pPr>
              <w:jc w:val="both"/>
              <w:rPr>
                <w:rFonts w:cs="Arial"/>
              </w:rPr>
            </w:pPr>
          </w:p>
        </w:tc>
        <w:tc>
          <w:tcPr>
            <w:tcW w:w="4621" w:type="dxa"/>
          </w:tcPr>
          <w:p w:rsidR="00632E0E" w:rsidRDefault="00632E0E" w:rsidP="00AE4B21">
            <w:pPr>
              <w:jc w:val="both"/>
              <w:rPr>
                <w:rFonts w:cs="Arial"/>
              </w:rPr>
            </w:pPr>
            <w:r w:rsidRPr="00E60E4B">
              <w:rPr>
                <w:rFonts w:cs="Arial"/>
              </w:rPr>
              <w:t>Following the Ordinary Electi</w:t>
            </w:r>
            <w:r w:rsidRPr="00AD4CFF">
              <w:rPr>
                <w:rFonts w:cs="Arial"/>
              </w:rPr>
              <w:t xml:space="preserve">ons in </w:t>
            </w:r>
            <w:r w:rsidR="00AE4B21">
              <w:rPr>
                <w:rFonts w:cs="Arial"/>
              </w:rPr>
              <w:t>2021</w:t>
            </w:r>
          </w:p>
        </w:tc>
      </w:tr>
      <w:tr w:rsidR="00632E0E">
        <w:trPr>
          <w:trHeight w:val="280"/>
        </w:trPr>
        <w:tc>
          <w:tcPr>
            <w:tcW w:w="4621" w:type="dxa"/>
          </w:tcPr>
          <w:p w:rsidR="00632E0E" w:rsidRDefault="00632E0E">
            <w:pPr>
              <w:jc w:val="both"/>
              <w:rPr>
                <w:rFonts w:cs="Arial"/>
              </w:rPr>
            </w:pPr>
            <w:r>
              <w:rPr>
                <w:rFonts w:cs="Arial"/>
              </w:rPr>
              <w:t xml:space="preserve">Responsible </w:t>
            </w:r>
            <w:r w:rsidR="00E81A23">
              <w:rPr>
                <w:rFonts w:cs="Arial"/>
              </w:rPr>
              <w:t>Directorate</w:t>
            </w:r>
          </w:p>
          <w:p w:rsidR="00632E0E" w:rsidRDefault="00632E0E">
            <w:pPr>
              <w:jc w:val="both"/>
              <w:rPr>
                <w:rFonts w:cs="Arial"/>
              </w:rPr>
            </w:pPr>
          </w:p>
        </w:tc>
        <w:tc>
          <w:tcPr>
            <w:tcW w:w="4621" w:type="dxa"/>
          </w:tcPr>
          <w:p w:rsidR="00632E0E" w:rsidRDefault="00632E0E">
            <w:pPr>
              <w:jc w:val="both"/>
              <w:rPr>
                <w:rFonts w:cs="Arial"/>
              </w:rPr>
            </w:pPr>
            <w:r>
              <w:rPr>
                <w:rFonts w:cs="Arial"/>
              </w:rPr>
              <w:t>Corporate Services</w:t>
            </w:r>
          </w:p>
        </w:tc>
      </w:tr>
    </w:tbl>
    <w:p w:rsidR="008C345D" w:rsidRPr="00CD6D7A" w:rsidRDefault="008C345D" w:rsidP="00CD6D7A">
      <w:pPr>
        <w:pStyle w:val="Header"/>
        <w:tabs>
          <w:tab w:val="clear" w:pos="4153"/>
          <w:tab w:val="clear" w:pos="8306"/>
        </w:tabs>
        <w:rPr>
          <w:sz w:val="2"/>
          <w:szCs w:val="2"/>
          <w:lang w:val="en-US"/>
        </w:rPr>
      </w:pPr>
    </w:p>
    <w:sectPr w:rsidR="008C345D" w:rsidRPr="00CD6D7A" w:rsidSect="00F2735D">
      <w:headerReference w:type="even" r:id="rId8"/>
      <w:headerReference w:type="default" r:id="rId9"/>
      <w:footerReference w:type="even" r:id="rId10"/>
      <w:footerReference w:type="default" r:id="rId11"/>
      <w:headerReference w:type="first" r:id="rId12"/>
      <w:footerReference w:type="first" r:id="rId13"/>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1B" w:rsidRDefault="00A55C1B">
      <w:r>
        <w:separator/>
      </w:r>
    </w:p>
  </w:endnote>
  <w:endnote w:type="continuationSeparator" w:id="0">
    <w:p w:rsidR="00A55C1B" w:rsidRDefault="00A5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A55C1B">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A55C1B" w:rsidRDefault="00A55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A55C1B" w:rsidP="003807E3">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r>
      <w:rPr>
        <w:sz w:val="16"/>
      </w:rPr>
      <w:t>info@emrc.org.au</w:t>
    </w:r>
    <w:r>
      <w:rPr>
        <w:sz w:val="16"/>
        <w:lang w:val="en-US"/>
      </w:rPr>
      <w:t xml:space="preserve">  </w:t>
    </w:r>
    <w:r>
      <w:rPr>
        <w:b/>
        <w:bCs/>
        <w:sz w:val="16"/>
        <w:lang w:val="en-US"/>
      </w:rPr>
      <w:t>WEB</w:t>
    </w:r>
    <w:r>
      <w:rPr>
        <w:sz w:val="16"/>
        <w:lang w:val="en-US"/>
      </w:rPr>
      <w:t xml:space="preserve"> </w:t>
    </w:r>
    <w:hyperlink r:id="rId1" w:history="1">
      <w:r w:rsidR="002D28F6" w:rsidRPr="000B3378">
        <w:rPr>
          <w:rStyle w:val="Hyperlink"/>
          <w:sz w:val="16"/>
          <w:lang w:val="en-US"/>
        </w:rPr>
        <w:t>www.emrc.org.au</w:t>
      </w:r>
    </w:hyperlink>
  </w:p>
  <w:p w:rsidR="002D28F6" w:rsidRPr="002D28F6" w:rsidRDefault="002D28F6" w:rsidP="003807E3">
    <w:pPr>
      <w:pStyle w:val="Footer"/>
      <w:jc w:val="center"/>
      <w:rPr>
        <w:sz w:val="16"/>
        <w:lang w:val="en-US"/>
      </w:rPr>
    </w:pPr>
    <w:r w:rsidRPr="003807E3">
      <w:rPr>
        <w:bCs/>
        <w:sz w:val="16"/>
        <w:lang w:val="en-US"/>
      </w:rPr>
      <w:t>Policy – 3.6 Asset Management Policy – 06-12-2018.docx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A55C1B" w:rsidP="00AD4CFF">
    <w:pPr>
      <w:pStyle w:val="Footer"/>
      <w:jc w:val="center"/>
      <w:rPr>
        <w:rStyle w:val="Hyperlink"/>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r>
      <w:rPr>
        <w:sz w:val="16"/>
      </w:rPr>
      <w:t>mail@emrc.org.au</w:t>
    </w:r>
    <w:r>
      <w:rPr>
        <w:sz w:val="16"/>
        <w:lang w:val="en-US"/>
      </w:rPr>
      <w:t xml:space="preserve">  </w:t>
    </w:r>
    <w:r>
      <w:rPr>
        <w:b/>
        <w:bCs/>
        <w:sz w:val="16"/>
        <w:lang w:val="en-US"/>
      </w:rPr>
      <w:t>WEB</w:t>
    </w:r>
    <w:r>
      <w:rPr>
        <w:sz w:val="16"/>
        <w:lang w:val="en-US"/>
      </w:rPr>
      <w:t xml:space="preserve"> </w:t>
    </w:r>
    <w:hyperlink r:id="rId1" w:history="1">
      <w:r w:rsidRPr="00B0767E">
        <w:rPr>
          <w:rStyle w:val="Hyperlink"/>
          <w:sz w:val="16"/>
          <w:lang w:val="en-US"/>
        </w:rPr>
        <w:t>www.emrc.org.au</w:t>
      </w:r>
    </w:hyperlink>
  </w:p>
  <w:p w:rsidR="002D28F6" w:rsidRDefault="002D28F6" w:rsidP="00AD4CFF">
    <w:pPr>
      <w:pStyle w:val="Footer"/>
      <w:jc w:val="center"/>
      <w:rPr>
        <w:sz w:val="16"/>
        <w:lang w:val="en-US"/>
      </w:rPr>
    </w:pPr>
    <w:r w:rsidRPr="00B761A2">
      <w:rPr>
        <w:bCs/>
        <w:sz w:val="16"/>
        <w:lang w:val="en-US"/>
      </w:rPr>
      <w:t>Policy – 3.6 Asset Management Policy – 06-12-2018.docx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1B" w:rsidRDefault="00A55C1B">
      <w:r>
        <w:separator/>
      </w:r>
    </w:p>
  </w:footnote>
  <w:footnote w:type="continuationSeparator" w:id="0">
    <w:p w:rsidR="00A55C1B" w:rsidRDefault="00A55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372F55">
    <w:pPr>
      <w:pStyle w:val="Header"/>
    </w:pPr>
    <w:r>
      <w:rPr>
        <w:noProof/>
        <w:lang w:eastAsia="en-AU"/>
      </w:rPr>
      <w:drawing>
        <wp:anchor distT="0" distB="0" distL="114300" distR="114300" simplePos="0" relativeHeight="251656704" behindDoc="1" locked="0" layoutInCell="1" allowOverlap="1" wp14:anchorId="26A05483" wp14:editId="6FD6F469">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372F55">
    <w:pPr>
      <w:pStyle w:val="Header"/>
    </w:pPr>
    <w:r>
      <w:rPr>
        <w:noProof/>
        <w:lang w:eastAsia="en-AU"/>
      </w:rPr>
      <w:drawing>
        <wp:anchor distT="0" distB="0" distL="114300" distR="114300" simplePos="0" relativeHeight="251658752" behindDoc="1" locked="0" layoutInCell="1" allowOverlap="1" wp14:anchorId="47C8FAD0" wp14:editId="044AD828">
          <wp:simplePos x="0" y="0"/>
          <wp:positionH relativeFrom="page">
            <wp:posOffset>965835</wp:posOffset>
          </wp:positionH>
          <wp:positionV relativeFrom="page">
            <wp:posOffset>459740</wp:posOffset>
          </wp:positionV>
          <wp:extent cx="1440180" cy="640715"/>
          <wp:effectExtent l="19050" t="0" r="7620" b="0"/>
          <wp:wrapTopAndBottom/>
          <wp:docPr id="13" name="Picture 1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1B" w:rsidRDefault="00372F55">
    <w:r>
      <w:rPr>
        <w:noProof/>
        <w:lang w:eastAsia="en-AU"/>
      </w:rPr>
      <w:drawing>
        <wp:anchor distT="0" distB="0" distL="114300" distR="114300" simplePos="0" relativeHeight="251657728" behindDoc="1" locked="0" layoutInCell="1" allowOverlap="1" wp14:anchorId="164B1E2F" wp14:editId="5AD1A6CC">
          <wp:simplePos x="0" y="0"/>
          <wp:positionH relativeFrom="page">
            <wp:posOffset>965835</wp:posOffset>
          </wp:positionH>
          <wp:positionV relativeFrom="page">
            <wp:posOffset>459740</wp:posOffset>
          </wp:positionV>
          <wp:extent cx="1431925" cy="636905"/>
          <wp:effectExtent l="19050" t="0" r="0" b="0"/>
          <wp:wrapTopAndBottom/>
          <wp:docPr id="10" name="Picture 10"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pic:spPr>
              </pic:pic>
            </a:graphicData>
          </a:graphic>
        </wp:anchor>
      </w:drawing>
    </w:r>
  </w:p>
  <w:p w:rsidR="00A55C1B" w:rsidRDefault="00A55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15A925E8"/>
    <w:multiLevelType w:val="hybridMultilevel"/>
    <w:tmpl w:val="D818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610D99"/>
    <w:multiLevelType w:val="hybridMultilevel"/>
    <w:tmpl w:val="9228AE66"/>
    <w:lvl w:ilvl="0" w:tplc="0AFCAC4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2">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1EA964E0"/>
    <w:multiLevelType w:val="hybridMultilevel"/>
    <w:tmpl w:val="5D20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9D43BE"/>
    <w:multiLevelType w:val="hybridMultilevel"/>
    <w:tmpl w:val="30FC8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86E79"/>
    <w:multiLevelType w:val="hybridMultilevel"/>
    <w:tmpl w:val="CF1C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A27CE7"/>
    <w:multiLevelType w:val="hybridMultilevel"/>
    <w:tmpl w:val="0968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9B1A4B"/>
    <w:multiLevelType w:val="hybridMultilevel"/>
    <w:tmpl w:val="C836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3"/>
  </w:num>
  <w:num w:numId="15">
    <w:abstractNumId w:val="18"/>
  </w:num>
  <w:num w:numId="16">
    <w:abstractNumId w:val="22"/>
  </w:num>
  <w:num w:numId="17">
    <w:abstractNumId w:val="16"/>
  </w:num>
  <w:num w:numId="18">
    <w:abstractNumId w:val="25"/>
  </w:num>
  <w:num w:numId="19">
    <w:abstractNumId w:val="24"/>
  </w:num>
  <w:num w:numId="20">
    <w:abstractNumId w:val="19"/>
  </w:num>
  <w:num w:numId="21">
    <w:abstractNumId w:val="11"/>
  </w:num>
  <w:num w:numId="22">
    <w:abstractNumId w:val="20"/>
  </w:num>
  <w:num w:numId="23">
    <w:abstractNumId w:val="21"/>
  </w:num>
  <w:num w:numId="24">
    <w:abstractNumId w:val="1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C345D"/>
    <w:rsid w:val="00022090"/>
    <w:rsid w:val="00086C5D"/>
    <w:rsid w:val="00131443"/>
    <w:rsid w:val="001B33E0"/>
    <w:rsid w:val="00287FBF"/>
    <w:rsid w:val="002A0C4E"/>
    <w:rsid w:val="002D28F6"/>
    <w:rsid w:val="0032182F"/>
    <w:rsid w:val="00372F55"/>
    <w:rsid w:val="003807E3"/>
    <w:rsid w:val="00501D17"/>
    <w:rsid w:val="0051612C"/>
    <w:rsid w:val="005D70A4"/>
    <w:rsid w:val="006264F2"/>
    <w:rsid w:val="00632E0E"/>
    <w:rsid w:val="00665F7F"/>
    <w:rsid w:val="00666169"/>
    <w:rsid w:val="00792B0E"/>
    <w:rsid w:val="007A5267"/>
    <w:rsid w:val="00814F7F"/>
    <w:rsid w:val="008371BE"/>
    <w:rsid w:val="008C2B29"/>
    <w:rsid w:val="008C345D"/>
    <w:rsid w:val="008D6916"/>
    <w:rsid w:val="008D7F4A"/>
    <w:rsid w:val="008F38F8"/>
    <w:rsid w:val="0093660A"/>
    <w:rsid w:val="00942090"/>
    <w:rsid w:val="009B2510"/>
    <w:rsid w:val="00A4271F"/>
    <w:rsid w:val="00A55C1B"/>
    <w:rsid w:val="00A94A2B"/>
    <w:rsid w:val="00AD4CFF"/>
    <w:rsid w:val="00AE4B21"/>
    <w:rsid w:val="00B6038A"/>
    <w:rsid w:val="00B639D6"/>
    <w:rsid w:val="00C24D3B"/>
    <w:rsid w:val="00C93A16"/>
    <w:rsid w:val="00C966CB"/>
    <w:rsid w:val="00CD6D7A"/>
    <w:rsid w:val="00D01F84"/>
    <w:rsid w:val="00D379C6"/>
    <w:rsid w:val="00D4332D"/>
    <w:rsid w:val="00D52DE5"/>
    <w:rsid w:val="00DC0B47"/>
    <w:rsid w:val="00E81A23"/>
    <w:rsid w:val="00E9237C"/>
    <w:rsid w:val="00F10255"/>
    <w:rsid w:val="00F10417"/>
    <w:rsid w:val="00F2735D"/>
    <w:rsid w:val="00F4299E"/>
    <w:rsid w:val="00F86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0A4"/>
    <w:rPr>
      <w:rFonts w:ascii="Arial" w:hAnsi="Arial"/>
      <w:lang w:eastAsia="en-US"/>
    </w:rPr>
  </w:style>
  <w:style w:type="paragraph" w:styleId="Heading1">
    <w:name w:val="heading 1"/>
    <w:basedOn w:val="Normal"/>
    <w:next w:val="Normal"/>
    <w:qFormat/>
    <w:rsid w:val="005D70A4"/>
    <w:pPr>
      <w:keepNext/>
      <w:spacing w:before="600" w:after="340"/>
      <w:outlineLvl w:val="0"/>
    </w:pPr>
    <w:rPr>
      <w:color w:val="FFCC00"/>
      <w:kern w:val="28"/>
      <w:sz w:val="28"/>
      <w:szCs w:val="28"/>
      <w:lang w:val="en-US"/>
    </w:rPr>
  </w:style>
  <w:style w:type="paragraph" w:styleId="Heading2">
    <w:name w:val="heading 2"/>
    <w:basedOn w:val="Normal"/>
    <w:next w:val="Normal"/>
    <w:qFormat/>
    <w:rsid w:val="005D70A4"/>
    <w:pPr>
      <w:keepNext/>
      <w:spacing w:before="280" w:after="280"/>
      <w:outlineLvl w:val="1"/>
    </w:pPr>
    <w:rPr>
      <w:sz w:val="28"/>
    </w:rPr>
  </w:style>
  <w:style w:type="paragraph" w:styleId="Heading3">
    <w:name w:val="heading 3"/>
    <w:basedOn w:val="Normal"/>
    <w:next w:val="Normal"/>
    <w:qFormat/>
    <w:rsid w:val="005D70A4"/>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5D70A4"/>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70A4"/>
    <w:pPr>
      <w:outlineLvl w:val="0"/>
    </w:pPr>
    <w:rPr>
      <w:color w:val="000000"/>
      <w:kern w:val="28"/>
      <w:sz w:val="44"/>
    </w:rPr>
  </w:style>
  <w:style w:type="paragraph" w:styleId="Header">
    <w:name w:val="header"/>
    <w:basedOn w:val="Normal"/>
    <w:rsid w:val="005D70A4"/>
    <w:pPr>
      <w:tabs>
        <w:tab w:val="center" w:pos="4153"/>
        <w:tab w:val="right" w:pos="8306"/>
      </w:tabs>
    </w:pPr>
  </w:style>
  <w:style w:type="paragraph" w:styleId="Footer">
    <w:name w:val="footer"/>
    <w:basedOn w:val="Normal"/>
    <w:rsid w:val="005D70A4"/>
    <w:pPr>
      <w:tabs>
        <w:tab w:val="center" w:pos="4153"/>
        <w:tab w:val="right" w:pos="8306"/>
      </w:tabs>
      <w:spacing w:after="120"/>
      <w:ind w:left="567"/>
    </w:pPr>
  </w:style>
  <w:style w:type="character" w:styleId="Hyperlink">
    <w:name w:val="Hyperlink"/>
    <w:basedOn w:val="DefaultParagraphFont"/>
    <w:rsid w:val="005D70A4"/>
    <w:rPr>
      <w:color w:val="0000FF"/>
      <w:u w:val="single"/>
    </w:rPr>
  </w:style>
  <w:style w:type="paragraph" w:styleId="BodyText">
    <w:name w:val="Body Text"/>
    <w:basedOn w:val="Normal"/>
    <w:rsid w:val="005D70A4"/>
    <w:pPr>
      <w:jc w:val="both"/>
    </w:pPr>
    <w:rPr>
      <w:rFonts w:ascii="Times New Roman" w:hAnsi="Times New Roman"/>
      <w:sz w:val="24"/>
    </w:rPr>
  </w:style>
  <w:style w:type="paragraph" w:styleId="FootnoteText">
    <w:name w:val="footnote text"/>
    <w:basedOn w:val="Normal"/>
    <w:semiHidden/>
    <w:rsid w:val="005D70A4"/>
    <w:pPr>
      <w:ind w:left="567"/>
    </w:pPr>
    <w:rPr>
      <w:sz w:val="16"/>
    </w:rPr>
  </w:style>
  <w:style w:type="paragraph" w:customStyle="1" w:styleId="Pol2">
    <w:name w:val="Pol 2"/>
    <w:basedOn w:val="Normal"/>
    <w:rsid w:val="005D70A4"/>
    <w:pPr>
      <w:jc w:val="both"/>
    </w:pPr>
    <w:rPr>
      <w:rFonts w:ascii="Arial Rounded MT Bold" w:eastAsia="MS Mincho" w:hAnsi="Arial Rounded MT Bold"/>
      <w:sz w:val="24"/>
      <w:szCs w:val="24"/>
      <w:lang w:eastAsia="ja-JP"/>
    </w:rPr>
  </w:style>
  <w:style w:type="paragraph" w:customStyle="1" w:styleId="Bod1">
    <w:name w:val="Bod 1"/>
    <w:basedOn w:val="Normal"/>
    <w:rsid w:val="005D70A4"/>
    <w:pPr>
      <w:jc w:val="both"/>
    </w:pPr>
    <w:rPr>
      <w:rFonts w:ascii="Times New Roman" w:eastAsia="MS Mincho" w:hAnsi="Times New Roman"/>
      <w:sz w:val="24"/>
      <w:szCs w:val="24"/>
      <w:lang w:eastAsia="ja-JP"/>
    </w:rPr>
  </w:style>
  <w:style w:type="paragraph" w:styleId="ListParagraph">
    <w:name w:val="List Paragraph"/>
    <w:basedOn w:val="Normal"/>
    <w:uiPriority w:val="34"/>
    <w:qFormat/>
    <w:rsid w:val="00632E0E"/>
    <w:pPr>
      <w:ind w:left="720"/>
      <w:contextualSpacing/>
    </w:pPr>
    <w:rPr>
      <w:rFonts w:ascii="Arial Narrow" w:hAnsi="Arial Narrow"/>
      <w:sz w:val="22"/>
    </w:rPr>
  </w:style>
  <w:style w:type="paragraph" w:styleId="BalloonText">
    <w:name w:val="Balloon Text"/>
    <w:basedOn w:val="Normal"/>
    <w:link w:val="BalloonTextChar"/>
    <w:rsid w:val="00F861BD"/>
    <w:rPr>
      <w:rFonts w:ascii="Tahoma" w:hAnsi="Tahoma" w:cs="Tahoma"/>
      <w:sz w:val="16"/>
      <w:szCs w:val="16"/>
    </w:rPr>
  </w:style>
  <w:style w:type="character" w:customStyle="1" w:styleId="BalloonTextChar">
    <w:name w:val="Balloon Text Char"/>
    <w:basedOn w:val="DefaultParagraphFont"/>
    <w:link w:val="BalloonText"/>
    <w:rsid w:val="00F861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14</TotalTime>
  <Pages>3</Pages>
  <Words>627</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4428</CharactersWithSpaces>
  <SharedDoc>false</SharedDoc>
  <HLinks>
    <vt:vector size="6" baseType="variant">
      <vt:variant>
        <vt:i4>3866679</vt:i4>
      </vt:variant>
      <vt:variant>
        <vt:i4>0</vt:i4>
      </vt:variant>
      <vt:variant>
        <vt:i4>0</vt:i4>
      </vt:variant>
      <vt:variant>
        <vt:i4>5</vt:i4>
      </vt:variant>
      <vt:variant>
        <vt:lpwstr>http://www.emrc.org.au/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8</cp:revision>
  <cp:lastPrinted>2014-09-10T01:55:00Z</cp:lastPrinted>
  <dcterms:created xsi:type="dcterms:W3CDTF">2018-05-28T06:47:00Z</dcterms:created>
  <dcterms:modified xsi:type="dcterms:W3CDTF">2019-01-03T09:11:00Z</dcterms:modified>
</cp:coreProperties>
</file>