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87" w:rsidRPr="006670EB" w:rsidRDefault="00AA67A5" w:rsidP="006670EB">
      <w:pPr>
        <w:pStyle w:val="1CoverPageEMRC"/>
        <w:spacing w:before="0"/>
      </w:pPr>
      <w:r>
        <w:rPr>
          <w:noProof/>
        </w:rPr>
        <mc:AlternateContent>
          <mc:Choice Requires="wps">
            <w:drawing>
              <wp:anchor distT="45720" distB="45720" distL="114300" distR="114300" simplePos="0" relativeHeight="251659264" behindDoc="1" locked="0" layoutInCell="1" allowOverlap="1">
                <wp:simplePos x="0" y="0"/>
                <wp:positionH relativeFrom="column">
                  <wp:posOffset>3767628</wp:posOffset>
                </wp:positionH>
                <wp:positionV relativeFrom="paragraph">
                  <wp:posOffset>-1215448</wp:posOffset>
                </wp:positionV>
                <wp:extent cx="2662844" cy="238299"/>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844" cy="238299"/>
                        </a:xfrm>
                        <a:prstGeom prst="rect">
                          <a:avLst/>
                        </a:prstGeom>
                        <a:solidFill>
                          <a:srgbClr val="FFFFFF"/>
                        </a:solidFill>
                        <a:ln w="9525">
                          <a:noFill/>
                          <a:miter lim="800000"/>
                          <a:headEnd/>
                          <a:tailEnd/>
                        </a:ln>
                      </wps:spPr>
                      <wps:txbx>
                        <w:txbxContent>
                          <w:p w:rsidR="00AA67A5" w:rsidRDefault="00AA6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65pt;margin-top:-95.7pt;width:209.65pt;height: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" stroked="f">
                <v:textbox>
                  <w:txbxContent>
                    <w:p w:rsidR="00AA67A5" w:rsidRDefault="00AA67A5"/>
                  </w:txbxContent>
                </v:textbox>
              </v:shape>
            </w:pict>
          </mc:Fallback>
        </mc:AlternateContent>
      </w:r>
      <w:r w:rsidR="00030EEE">
        <w:t xml:space="preserve">Council Policy </w:t>
      </w:r>
      <w:r w:rsidR="00C13108">
        <w:t>3.1</w:t>
      </w:r>
    </w:p>
    <w:p w:rsidR="006670EB" w:rsidRPr="006670EB" w:rsidRDefault="00C13108" w:rsidP="006670EB">
      <w:pPr>
        <w:pStyle w:val="2CoverPageDepartment"/>
      </w:pPr>
      <w:r>
        <w:t>Annual Financial Reporting Policy</w:t>
      </w:r>
    </w:p>
    <w:p w:rsidR="006670EB" w:rsidRPr="006670EB" w:rsidRDefault="00030EEE" w:rsidP="006670EB">
      <w:pPr>
        <w:pStyle w:val="3CoverPageTitle"/>
      </w:pPr>
      <w:r w:rsidRPr="00030EEE">
        <w:t>Strategic Plan Objective</w:t>
      </w:r>
    </w:p>
    <w:p w:rsidR="00C13108" w:rsidRDefault="00C13108" w:rsidP="00C13108">
      <w:pPr>
        <w:spacing w:after="60"/>
      </w:pPr>
      <w:r>
        <w:t>3.3 To provide responsible and accountable governance and management of the EMRC.</w:t>
      </w:r>
    </w:p>
    <w:p w:rsidR="006670EB" w:rsidRDefault="00C13108" w:rsidP="00C13108">
      <w:pPr>
        <w:spacing w:after="240"/>
      </w:pPr>
      <w:r>
        <w:t>3.4 To continue to improve financial and asset management practices.</w:t>
      </w:r>
    </w:p>
    <w:p w:rsidR="006670EB" w:rsidRDefault="006670EB" w:rsidP="00F94EDC">
      <w:pPr>
        <w:pStyle w:val="3CoverPageTitle"/>
      </w:pPr>
      <w:r>
        <w:t>Purpose</w:t>
      </w:r>
    </w:p>
    <w:p w:rsidR="006670EB" w:rsidRDefault="00C13108" w:rsidP="006670EB">
      <w:pPr>
        <w:spacing w:after="240"/>
      </w:pPr>
      <w:r w:rsidRPr="00C13108">
        <w:t>To endorse accounting policies as part of the preparation of the Council’s annual financial statements.</w:t>
      </w:r>
    </w:p>
    <w:p w:rsidR="006670EB" w:rsidRDefault="00030EEE" w:rsidP="00F94EDC">
      <w:pPr>
        <w:pStyle w:val="3CoverPageTitle"/>
      </w:pPr>
      <w:r>
        <w:t>Legislation</w:t>
      </w:r>
    </w:p>
    <w:p w:rsidR="006670EB" w:rsidRDefault="00C13108" w:rsidP="00C13108">
      <w:pPr>
        <w:spacing w:after="60"/>
        <w:rPr>
          <w:i/>
        </w:rPr>
      </w:pPr>
      <w:r>
        <w:rPr>
          <w:i/>
        </w:rPr>
        <w:t>Local Government Act 1995</w:t>
      </w:r>
    </w:p>
    <w:p w:rsidR="00C13108" w:rsidRDefault="00C13108" w:rsidP="00C13108">
      <w:pPr>
        <w:spacing w:after="60"/>
        <w:rPr>
          <w:i/>
        </w:rPr>
      </w:pPr>
      <w:r>
        <w:rPr>
          <w:i/>
        </w:rPr>
        <w:t>Local Government (Financial Management) Regulations 1996</w:t>
      </w:r>
    </w:p>
    <w:p w:rsidR="00C13108" w:rsidRPr="00C13108" w:rsidRDefault="00C13108" w:rsidP="006670EB">
      <w:pPr>
        <w:spacing w:after="240"/>
      </w:pPr>
      <w:r w:rsidRPr="00C13108">
        <w:t>Australian Accounting Standards</w:t>
      </w:r>
    </w:p>
    <w:p w:rsidR="006670EB" w:rsidRDefault="00030EEE" w:rsidP="00F94EDC">
      <w:pPr>
        <w:pStyle w:val="3CoverPageTitle"/>
      </w:pPr>
      <w:r>
        <w:t>Policy Statement</w:t>
      </w:r>
    </w:p>
    <w:p w:rsidR="00737028" w:rsidRDefault="00737028" w:rsidP="00EF1636">
      <w:pPr>
        <w:pStyle w:val="Heading1"/>
      </w:pPr>
      <w:r>
        <w:t>Reporting Entity</w:t>
      </w:r>
    </w:p>
    <w:p w:rsidR="00737028" w:rsidRDefault="00737028" w:rsidP="00067599">
      <w:pPr>
        <w:ind w:firstLine="567"/>
      </w:pPr>
      <w:r>
        <w:t>The reporting entity is the Eastern Metropolitan Regional Council.</w:t>
      </w:r>
    </w:p>
    <w:p w:rsidR="00737028" w:rsidRDefault="00737028" w:rsidP="00EF1636">
      <w:pPr>
        <w:pStyle w:val="Heading1"/>
      </w:pPr>
      <w:r>
        <w:t>Basis of Accounting</w:t>
      </w:r>
    </w:p>
    <w:p w:rsidR="00737028" w:rsidRDefault="00737028" w:rsidP="00737028"/>
    <w:p w:rsidR="00737028" w:rsidRDefault="00737028" w:rsidP="00067599">
      <w:pPr>
        <w:ind w:left="567"/>
      </w:pPr>
      <w:r>
        <w:t>The financial statements shall be drawn up in accordance with the accounting standards and disclosure requirements of the Australian accounting bodies, the Local Government Act 1995, and the Local Government (Financial Management) Regulations 1996.</w:t>
      </w:r>
    </w:p>
    <w:p w:rsidR="00737028" w:rsidRDefault="00737028" w:rsidP="00EF1636">
      <w:pPr>
        <w:pStyle w:val="Heading1"/>
      </w:pPr>
      <w:r>
        <w:t>Asset Classification</w:t>
      </w:r>
    </w:p>
    <w:p w:rsidR="00737028" w:rsidRDefault="00737028" w:rsidP="00737028"/>
    <w:p w:rsidR="00030EEE" w:rsidRDefault="00737028" w:rsidP="00067599">
      <w:pPr>
        <w:spacing w:after="240"/>
        <w:ind w:firstLine="369"/>
      </w:pPr>
      <w:r>
        <w:t>The following classifications are to be utilised for recording assets:</w:t>
      </w:r>
    </w:p>
    <w:p w:rsidR="00737028" w:rsidRDefault="00737028" w:rsidP="00067599">
      <w:pPr>
        <w:pStyle w:val="EMRCBulletText1"/>
        <w:ind w:left="1134" w:hanging="567"/>
      </w:pPr>
      <w:r>
        <w:t>Land</w:t>
      </w:r>
    </w:p>
    <w:p w:rsidR="00737028" w:rsidRDefault="00737028" w:rsidP="00067599">
      <w:pPr>
        <w:pStyle w:val="EMRCBulletText1"/>
        <w:ind w:left="1134" w:hanging="567"/>
      </w:pPr>
      <w:r>
        <w:t>Buildings</w:t>
      </w:r>
    </w:p>
    <w:p w:rsidR="00737028" w:rsidRDefault="00737028" w:rsidP="00067599">
      <w:pPr>
        <w:pStyle w:val="EMRCBulletText1"/>
        <w:ind w:left="1134" w:hanging="567"/>
      </w:pPr>
      <w:r>
        <w:t>Structures</w:t>
      </w:r>
    </w:p>
    <w:p w:rsidR="00737028" w:rsidRDefault="00737028" w:rsidP="00067599">
      <w:pPr>
        <w:pStyle w:val="EMRCBulletText1"/>
        <w:ind w:left="1134" w:hanging="567"/>
      </w:pPr>
      <w:r>
        <w:t>Plant</w:t>
      </w:r>
    </w:p>
    <w:p w:rsidR="00737028" w:rsidRDefault="00737028" w:rsidP="00067599">
      <w:pPr>
        <w:pStyle w:val="EMRCBulletText1"/>
        <w:ind w:left="1134" w:hanging="567"/>
      </w:pPr>
      <w:r>
        <w:t>Equipment</w:t>
      </w:r>
    </w:p>
    <w:p w:rsidR="00067599" w:rsidRDefault="00737028" w:rsidP="00067599">
      <w:pPr>
        <w:pStyle w:val="EMRCBulletText1"/>
        <w:ind w:left="1134" w:hanging="567"/>
      </w:pPr>
      <w:r>
        <w:t>Furniture and Fittings</w:t>
      </w:r>
    </w:p>
    <w:p w:rsidR="00067599" w:rsidRDefault="00067599" w:rsidP="00067599">
      <w:r>
        <w:br w:type="page"/>
      </w:r>
    </w:p>
    <w:p w:rsidR="00737028" w:rsidRDefault="00737028" w:rsidP="00EF1636">
      <w:pPr>
        <w:pStyle w:val="Heading1"/>
      </w:pPr>
      <w:r>
        <w:lastRenderedPageBreak/>
        <w:t>Depreciation</w:t>
      </w:r>
    </w:p>
    <w:p w:rsidR="00737028" w:rsidRDefault="00737028" w:rsidP="00067599">
      <w:pPr>
        <w:spacing w:after="120"/>
        <w:ind w:left="567"/>
      </w:pPr>
      <w:r>
        <w:t>Fixed Assets excluding freehold land and art works are to be depreciated over their estimated useful lives on a straight line basis as follows:</w:t>
      </w:r>
    </w:p>
    <w:p w:rsidR="00737028" w:rsidRDefault="00737028" w:rsidP="00067599">
      <w:pPr>
        <w:pStyle w:val="EMRCBulletText1"/>
        <w:tabs>
          <w:tab w:val="left" w:pos="4253"/>
        </w:tabs>
        <w:ind w:left="1134" w:hanging="567"/>
      </w:pPr>
      <w:r>
        <w:t>Buildings</w:t>
      </w:r>
      <w:r>
        <w:tab/>
        <w:t>1.00 - 13.33% (based on components)</w:t>
      </w:r>
    </w:p>
    <w:p w:rsidR="00737028" w:rsidRDefault="00737028" w:rsidP="00067599">
      <w:pPr>
        <w:pStyle w:val="EMRCBulletText1"/>
        <w:tabs>
          <w:tab w:val="left" w:pos="4253"/>
        </w:tabs>
        <w:ind w:left="1134" w:hanging="567"/>
      </w:pPr>
      <w:r>
        <w:t>Structures</w:t>
      </w:r>
    </w:p>
    <w:p w:rsidR="00737028" w:rsidRDefault="00737028" w:rsidP="00067599">
      <w:pPr>
        <w:pStyle w:val="EMRCBulletText2"/>
        <w:tabs>
          <w:tab w:val="left" w:pos="4253"/>
        </w:tabs>
        <w:ind w:left="1701" w:hanging="567"/>
      </w:pPr>
      <w:r>
        <w:t>General</w:t>
      </w:r>
      <w:r w:rsidR="00067599">
        <w:tab/>
      </w:r>
      <w:r w:rsidR="00067599" w:rsidRPr="00067599">
        <w:t>0.95 - 6.67%</w:t>
      </w:r>
    </w:p>
    <w:p w:rsidR="00737028" w:rsidRDefault="00737028" w:rsidP="00067599">
      <w:pPr>
        <w:pStyle w:val="EMRCBulletText2"/>
        <w:tabs>
          <w:tab w:val="left" w:pos="3119"/>
          <w:tab w:val="left" w:pos="4253"/>
        </w:tabs>
        <w:ind w:left="1701" w:hanging="567"/>
      </w:pPr>
      <w:r>
        <w:t>Class Ill &amp; IV Waste Cells</w:t>
      </w:r>
      <w:r>
        <w:tab/>
      </w:r>
      <w:r w:rsidR="00067599">
        <w:t>% of actual usage</w:t>
      </w:r>
    </w:p>
    <w:p w:rsidR="00737028" w:rsidRDefault="00737028" w:rsidP="00067599">
      <w:pPr>
        <w:pStyle w:val="EMRCBulletText1"/>
        <w:tabs>
          <w:tab w:val="left" w:pos="4253"/>
        </w:tabs>
        <w:ind w:left="1134" w:hanging="567"/>
      </w:pPr>
      <w:r>
        <w:t xml:space="preserve">Plant </w:t>
      </w:r>
      <w:r>
        <w:tab/>
        <w:t>4.17 - 33.33%</w:t>
      </w:r>
    </w:p>
    <w:p w:rsidR="00737028" w:rsidRDefault="00737028" w:rsidP="00067599">
      <w:pPr>
        <w:pStyle w:val="EMRCBulletText1"/>
        <w:tabs>
          <w:tab w:val="left" w:pos="4253"/>
        </w:tabs>
        <w:ind w:left="1134" w:hanging="567"/>
      </w:pPr>
      <w:r>
        <w:t>Furniture and fittings</w:t>
      </w:r>
      <w:r>
        <w:tab/>
        <w:t>4.00 - 33.33%</w:t>
      </w:r>
    </w:p>
    <w:p w:rsidR="00737028" w:rsidRDefault="00737028" w:rsidP="00067599">
      <w:pPr>
        <w:pStyle w:val="EMRCBulletText1"/>
        <w:tabs>
          <w:tab w:val="left" w:pos="4253"/>
        </w:tabs>
        <w:ind w:left="1134" w:hanging="567"/>
      </w:pPr>
      <w:r>
        <w:t>Equipment</w:t>
      </w:r>
      <w:r>
        <w:tab/>
        <w:t>4.00 - 33.33%</w:t>
      </w:r>
    </w:p>
    <w:p w:rsidR="00737028" w:rsidRDefault="00737028" w:rsidP="00067599">
      <w:pPr>
        <w:ind w:firstLine="567"/>
      </w:pPr>
      <w:r>
        <w:t>Assets are to be depreciated when completed and held ready for use.</w:t>
      </w:r>
    </w:p>
    <w:p w:rsidR="00737028" w:rsidRDefault="00737028" w:rsidP="00EF1636">
      <w:pPr>
        <w:pStyle w:val="Heading1"/>
      </w:pPr>
      <w:proofErr w:type="spellStart"/>
      <w:r>
        <w:t>Capitalisation</w:t>
      </w:r>
      <w:proofErr w:type="spellEnd"/>
      <w:r>
        <w:t xml:space="preserve"> Thresholds</w:t>
      </w:r>
    </w:p>
    <w:p w:rsidR="00737028" w:rsidRDefault="00737028" w:rsidP="00067599">
      <w:pPr>
        <w:ind w:left="567"/>
      </w:pPr>
      <w:r>
        <w:t>As per Regulation 17A(5) of the Local Government (Financial Management) Regulations 1996, capitalisation threshold for the EMRC’s asset is $5,000.</w:t>
      </w:r>
    </w:p>
    <w:p w:rsidR="00737028" w:rsidRDefault="00737028" w:rsidP="00EF1636">
      <w:pPr>
        <w:pStyle w:val="Heading1"/>
      </w:pPr>
      <w:r>
        <w:t>Rates</w:t>
      </w:r>
    </w:p>
    <w:p w:rsidR="00737028" w:rsidRDefault="00737028" w:rsidP="00067599">
      <w:pPr>
        <w:ind w:left="567"/>
      </w:pPr>
      <w:r>
        <w:t>The Eastern Metropolitan Regional Council does not levy rates. Accordingly rating information as required under the Local Government (Financial Management) Regulations 1996 (r39) is not required to be presented in the financial statements.</w:t>
      </w:r>
    </w:p>
    <w:p w:rsidR="00737028" w:rsidRDefault="00737028" w:rsidP="00EF1636">
      <w:pPr>
        <w:pStyle w:val="Heading1"/>
      </w:pPr>
      <w:r>
        <w:t>Timing of Asset Valuations</w:t>
      </w:r>
    </w:p>
    <w:p w:rsidR="00737028" w:rsidRDefault="00737028" w:rsidP="00067599">
      <w:pPr>
        <w:spacing w:after="240"/>
        <w:ind w:left="567"/>
      </w:pPr>
      <w:r>
        <w:t>As per Regulation 17A(4) of the Local Government (Financial Management) Regulations 1996, the EMRC will be undertaking revaluations on its Land, Buildings and Infrastructure classes of assets during the 2020/2021 financial year and then every 4 years thereafter.</w:t>
      </w:r>
    </w:p>
    <w:p w:rsidR="00737028" w:rsidRDefault="00EF1636" w:rsidP="00067599">
      <w:pPr>
        <w:pStyle w:val="Heading1"/>
        <w:spacing w:before="0" w:after="120"/>
      </w:pPr>
      <w:r>
        <w:t>R</w:t>
      </w:r>
      <w:r w:rsidR="00737028">
        <w:t>evaluation Thresholds</w:t>
      </w:r>
    </w:p>
    <w:p w:rsidR="00737028" w:rsidRDefault="00737028" w:rsidP="00067599">
      <w:pPr>
        <w:spacing w:after="120"/>
        <w:ind w:firstLine="567"/>
      </w:pPr>
      <w:r>
        <w:t>Revaluation thresholds shall be:</w:t>
      </w:r>
    </w:p>
    <w:p w:rsidR="00737028" w:rsidRDefault="00737028" w:rsidP="00067599">
      <w:pPr>
        <w:pStyle w:val="EMRCBulletText1"/>
        <w:tabs>
          <w:tab w:val="left" w:pos="2977"/>
        </w:tabs>
        <w:ind w:left="1134" w:hanging="567"/>
      </w:pPr>
      <w:r>
        <w:t>Land</w:t>
      </w:r>
      <w:r>
        <w:tab/>
        <w:t>No limit</w:t>
      </w:r>
    </w:p>
    <w:p w:rsidR="00737028" w:rsidRDefault="00737028" w:rsidP="00067599">
      <w:pPr>
        <w:pStyle w:val="EMRCBulletText1"/>
        <w:tabs>
          <w:tab w:val="left" w:pos="2977"/>
        </w:tabs>
        <w:ind w:left="1134" w:hanging="567"/>
      </w:pPr>
      <w:r>
        <w:t>Buildings</w:t>
      </w:r>
      <w:r>
        <w:tab/>
        <w:t>$5,000</w:t>
      </w:r>
    </w:p>
    <w:p w:rsidR="00737028" w:rsidRDefault="00737028" w:rsidP="00067599">
      <w:pPr>
        <w:pStyle w:val="EMRCBulletText1"/>
        <w:tabs>
          <w:tab w:val="left" w:pos="2977"/>
        </w:tabs>
        <w:ind w:left="1134" w:hanging="567"/>
      </w:pPr>
      <w:r>
        <w:t xml:space="preserve">Road Infrastructure </w:t>
      </w:r>
      <w:r>
        <w:tab/>
        <w:t>$5,000</w:t>
      </w:r>
    </w:p>
    <w:p w:rsidR="00737028" w:rsidRDefault="00737028" w:rsidP="00067599">
      <w:pPr>
        <w:pStyle w:val="EMRCBulletText1"/>
        <w:tabs>
          <w:tab w:val="left" w:pos="2977"/>
        </w:tabs>
        <w:ind w:left="1134" w:hanging="567"/>
      </w:pPr>
      <w:r>
        <w:t>Other Infrastructures</w:t>
      </w:r>
      <w:r>
        <w:tab/>
        <w:t>$5,000</w:t>
      </w:r>
    </w:p>
    <w:p w:rsidR="00737028" w:rsidRDefault="00737028" w:rsidP="00EF1636">
      <w:pPr>
        <w:pStyle w:val="Heading1"/>
      </w:pPr>
      <w:r>
        <w:t>Landfill Cells</w:t>
      </w:r>
    </w:p>
    <w:p w:rsidR="00737028" w:rsidRDefault="00737028" w:rsidP="00067599">
      <w:pPr>
        <w:spacing w:after="120"/>
        <w:ind w:firstLine="567"/>
      </w:pPr>
      <w:r>
        <w:t>There are three general components of cell construction:</w:t>
      </w:r>
    </w:p>
    <w:p w:rsidR="00737028" w:rsidRDefault="00737028" w:rsidP="00067599">
      <w:pPr>
        <w:pStyle w:val="EMRCBulletText1"/>
        <w:tabs>
          <w:tab w:val="left" w:pos="2977"/>
        </w:tabs>
        <w:ind w:left="1134" w:hanging="567"/>
      </w:pPr>
      <w:r>
        <w:t>Cell excavation and development costs;</w:t>
      </w:r>
    </w:p>
    <w:p w:rsidR="00737028" w:rsidRDefault="00737028" w:rsidP="00067599">
      <w:pPr>
        <w:pStyle w:val="EMRCBulletText1"/>
        <w:tabs>
          <w:tab w:val="left" w:pos="2977"/>
        </w:tabs>
        <w:ind w:left="1134" w:hanging="567"/>
      </w:pPr>
      <w:r>
        <w:t>Cell liner costs; and</w:t>
      </w:r>
    </w:p>
    <w:p w:rsidR="00737028" w:rsidRDefault="00737028" w:rsidP="00067599">
      <w:pPr>
        <w:pStyle w:val="EMRCBulletText1"/>
        <w:tabs>
          <w:tab w:val="left" w:pos="2977"/>
        </w:tabs>
        <w:ind w:left="1134" w:hanging="567"/>
      </w:pPr>
      <w:r>
        <w:t>Cell capping costs.</w:t>
      </w:r>
    </w:p>
    <w:p w:rsidR="00737028" w:rsidRDefault="00737028" w:rsidP="00067599">
      <w:pPr>
        <w:ind w:left="567"/>
      </w:pPr>
      <w:r>
        <w:t xml:space="preserve">All cell excavation and development costs and cell liner costs are capitalised and depreciated over the useful life of the cell based on the volumetric usage of the landfill cell air space during the year. </w:t>
      </w:r>
    </w:p>
    <w:p w:rsidR="00737028" w:rsidRDefault="00737028" w:rsidP="00067599">
      <w:pPr>
        <w:spacing w:after="240"/>
        <w:ind w:left="567"/>
      </w:pPr>
      <w:r>
        <w:t>Cell capping costs are expensed as they occur as part of ongoing site rehabilitation.</w:t>
      </w:r>
    </w:p>
    <w:p w:rsidR="00030EEE" w:rsidRDefault="00030EEE" w:rsidP="00030EEE">
      <w:pPr>
        <w:pStyle w:val="3CoverPageTitle"/>
      </w:pPr>
      <w:r>
        <w:lastRenderedPageBreak/>
        <w:t>Financial Considerations</w:t>
      </w:r>
    </w:p>
    <w:p w:rsidR="00DC36FF" w:rsidRDefault="00737028" w:rsidP="00737028">
      <w:pPr>
        <w:spacing w:after="360"/>
      </w:pPr>
      <w:r>
        <w:t>Nil</w:t>
      </w:r>
    </w:p>
    <w:p w:rsidR="00F94EDC" w:rsidRDefault="00F94EDC" w:rsidP="00F94EDC">
      <w:pPr>
        <w:pBdr>
          <w:top w:val="single" w:sz="4" w:space="1" w:color="313253" w:themeColor="accent5"/>
        </w:pBdr>
      </w:pPr>
    </w:p>
    <w:p w:rsidR="00F94EDC" w:rsidRDefault="00F94EDC" w:rsidP="00F94EDC"/>
    <w:p w:rsidR="00BC6FE9" w:rsidRPr="00BC6FE9" w:rsidRDefault="00F94EDC" w:rsidP="00737028">
      <w:pPr>
        <w:tabs>
          <w:tab w:val="left" w:pos="5103"/>
        </w:tabs>
        <w:spacing w:after="60"/>
        <w:rPr>
          <w:color w:val="6B6C6D" w:themeColor="accent3"/>
        </w:rPr>
      </w:pPr>
      <w:r w:rsidRPr="00F94EDC">
        <w:rPr>
          <w:b/>
          <w:color w:val="6B6C6D" w:themeColor="accent3"/>
        </w:rPr>
        <w:t>Adopted/Reviewed</w:t>
      </w:r>
      <w:r w:rsidRPr="00F94EDC">
        <w:rPr>
          <w:b/>
          <w:color w:val="6B6C6D" w:themeColor="accent3"/>
        </w:rPr>
        <w:tab/>
      </w:r>
      <w:r w:rsidR="00BC6FE9" w:rsidRPr="00BC6FE9">
        <w:rPr>
          <w:color w:val="6B6C6D" w:themeColor="accent3"/>
        </w:rPr>
        <w:t>27 October 1994</w:t>
      </w:r>
    </w:p>
    <w:p w:rsidR="00BC6FE9" w:rsidRPr="00BC6FE9" w:rsidRDefault="00BC6FE9" w:rsidP="00737028">
      <w:pPr>
        <w:tabs>
          <w:tab w:val="left" w:pos="5103"/>
        </w:tabs>
        <w:spacing w:after="60"/>
        <w:rPr>
          <w:color w:val="6B6C6D" w:themeColor="accent3"/>
        </w:rPr>
      </w:pPr>
      <w:r w:rsidRPr="00BC6FE9">
        <w:rPr>
          <w:color w:val="6B6C6D" w:themeColor="accent3"/>
        </w:rPr>
        <w:tab/>
        <w:t>22 July 1999</w:t>
      </w:r>
    </w:p>
    <w:p w:rsidR="00BC6FE9" w:rsidRDefault="00BC6FE9" w:rsidP="00737028">
      <w:pPr>
        <w:tabs>
          <w:tab w:val="left" w:pos="5103"/>
        </w:tabs>
        <w:spacing w:after="60"/>
        <w:rPr>
          <w:color w:val="6B6C6D" w:themeColor="accent3"/>
        </w:rPr>
      </w:pPr>
      <w:r w:rsidRPr="00BC6FE9">
        <w:rPr>
          <w:color w:val="6B6C6D" w:themeColor="accent3"/>
        </w:rPr>
        <w:tab/>
        <w:t>2 May 2022</w:t>
      </w:r>
    </w:p>
    <w:p w:rsidR="00BC6FE9" w:rsidRDefault="00BC6FE9" w:rsidP="00737028">
      <w:pPr>
        <w:tabs>
          <w:tab w:val="left" w:pos="5103"/>
        </w:tabs>
        <w:spacing w:after="60"/>
        <w:rPr>
          <w:color w:val="6B6C6D" w:themeColor="accent3"/>
        </w:rPr>
      </w:pPr>
      <w:r>
        <w:rPr>
          <w:color w:val="6B6C6D" w:themeColor="accent3"/>
        </w:rPr>
        <w:tab/>
        <w:t>20 May 2004</w:t>
      </w:r>
    </w:p>
    <w:p w:rsidR="00BC6FE9" w:rsidRDefault="00BC6FE9" w:rsidP="00737028">
      <w:pPr>
        <w:tabs>
          <w:tab w:val="left" w:pos="5103"/>
        </w:tabs>
        <w:spacing w:after="60"/>
        <w:rPr>
          <w:color w:val="6B6C6D" w:themeColor="accent3"/>
        </w:rPr>
      </w:pPr>
      <w:r>
        <w:rPr>
          <w:color w:val="6B6C6D" w:themeColor="accent3"/>
        </w:rPr>
        <w:tab/>
        <w:t>23 February 2006</w:t>
      </w:r>
    </w:p>
    <w:p w:rsidR="00BC6FE9" w:rsidRDefault="00BC6FE9" w:rsidP="00737028">
      <w:pPr>
        <w:tabs>
          <w:tab w:val="left" w:pos="5103"/>
        </w:tabs>
        <w:spacing w:after="60"/>
        <w:rPr>
          <w:color w:val="6B6C6D" w:themeColor="accent3"/>
        </w:rPr>
      </w:pPr>
      <w:r>
        <w:rPr>
          <w:color w:val="6B6C6D" w:themeColor="accent3"/>
        </w:rPr>
        <w:tab/>
        <w:t>18 September 2008</w:t>
      </w:r>
    </w:p>
    <w:p w:rsidR="00BC6FE9" w:rsidRDefault="00BC6FE9" w:rsidP="00737028">
      <w:pPr>
        <w:tabs>
          <w:tab w:val="left" w:pos="5103"/>
        </w:tabs>
        <w:spacing w:after="60"/>
        <w:rPr>
          <w:color w:val="6B6C6D" w:themeColor="accent3"/>
        </w:rPr>
      </w:pPr>
      <w:r>
        <w:rPr>
          <w:color w:val="6B6C6D" w:themeColor="accent3"/>
        </w:rPr>
        <w:tab/>
        <w:t>23 September 2010</w:t>
      </w:r>
    </w:p>
    <w:p w:rsidR="00BC6FE9" w:rsidRDefault="00BC6FE9" w:rsidP="00737028">
      <w:pPr>
        <w:tabs>
          <w:tab w:val="left" w:pos="5103"/>
        </w:tabs>
        <w:spacing w:after="60"/>
        <w:rPr>
          <w:color w:val="6B6C6D" w:themeColor="accent3"/>
        </w:rPr>
      </w:pPr>
      <w:r>
        <w:rPr>
          <w:color w:val="6B6C6D" w:themeColor="accent3"/>
        </w:rPr>
        <w:tab/>
        <w:t>19 June 2014</w:t>
      </w:r>
    </w:p>
    <w:p w:rsidR="00BC6FE9" w:rsidRDefault="00BC6FE9" w:rsidP="00737028">
      <w:pPr>
        <w:tabs>
          <w:tab w:val="left" w:pos="5103"/>
        </w:tabs>
        <w:spacing w:after="60"/>
        <w:rPr>
          <w:color w:val="6B6C6D" w:themeColor="accent3"/>
        </w:rPr>
      </w:pPr>
      <w:r>
        <w:rPr>
          <w:color w:val="6B6C6D" w:themeColor="accent3"/>
        </w:rPr>
        <w:tab/>
        <w:t>18 September 2014</w:t>
      </w:r>
    </w:p>
    <w:p w:rsidR="00BC6FE9" w:rsidRDefault="00BC6FE9" w:rsidP="00737028">
      <w:pPr>
        <w:tabs>
          <w:tab w:val="left" w:pos="5103"/>
        </w:tabs>
        <w:spacing w:after="60"/>
        <w:rPr>
          <w:color w:val="6B6C6D" w:themeColor="accent3"/>
        </w:rPr>
      </w:pPr>
      <w:r>
        <w:rPr>
          <w:color w:val="6B6C6D" w:themeColor="accent3"/>
        </w:rPr>
        <w:tab/>
        <w:t>17 September 2015</w:t>
      </w:r>
    </w:p>
    <w:p w:rsidR="00BC6FE9" w:rsidRDefault="00BC6FE9" w:rsidP="00737028">
      <w:pPr>
        <w:tabs>
          <w:tab w:val="left" w:pos="5103"/>
        </w:tabs>
        <w:spacing w:after="60"/>
        <w:rPr>
          <w:color w:val="6B6C6D" w:themeColor="accent3"/>
        </w:rPr>
      </w:pPr>
      <w:r>
        <w:rPr>
          <w:color w:val="6B6C6D" w:themeColor="accent3"/>
        </w:rPr>
        <w:tab/>
        <w:t>6 December 2018</w:t>
      </w:r>
    </w:p>
    <w:p w:rsidR="00BC6FE9" w:rsidRDefault="00BC6FE9" w:rsidP="00737028">
      <w:pPr>
        <w:tabs>
          <w:tab w:val="left" w:pos="5103"/>
        </w:tabs>
        <w:spacing w:after="60"/>
        <w:rPr>
          <w:color w:val="6B6C6D" w:themeColor="accent3"/>
        </w:rPr>
      </w:pPr>
      <w:r>
        <w:rPr>
          <w:color w:val="6B6C6D" w:themeColor="accent3"/>
        </w:rPr>
        <w:tab/>
        <w:t>23 May 2019</w:t>
      </w:r>
    </w:p>
    <w:p w:rsidR="00BC6FE9" w:rsidRPr="00BC6FE9" w:rsidRDefault="00BC6FE9" w:rsidP="00BC6FE9">
      <w:pPr>
        <w:tabs>
          <w:tab w:val="left" w:pos="5103"/>
        </w:tabs>
        <w:spacing w:after="120"/>
        <w:rPr>
          <w:color w:val="6B6C6D" w:themeColor="accent3"/>
        </w:rPr>
      </w:pPr>
      <w:r>
        <w:rPr>
          <w:color w:val="6B6C6D" w:themeColor="accent3"/>
        </w:rPr>
        <w:tab/>
        <w:t>2</w:t>
      </w:r>
      <w:r w:rsidR="00C666ED">
        <w:rPr>
          <w:color w:val="6B6C6D" w:themeColor="accent3"/>
        </w:rPr>
        <w:t>4</w:t>
      </w:r>
      <w:bookmarkStart w:id="0" w:name="_GoBack"/>
      <w:bookmarkEnd w:id="0"/>
      <w:r>
        <w:rPr>
          <w:color w:val="6B6C6D" w:themeColor="accent3"/>
        </w:rPr>
        <w:t xml:space="preserve"> June 2021</w:t>
      </w:r>
    </w:p>
    <w:p w:rsidR="00F94EDC" w:rsidRPr="00737028" w:rsidRDefault="00F94EDC" w:rsidP="00F94EDC">
      <w:pPr>
        <w:tabs>
          <w:tab w:val="left" w:pos="5103"/>
        </w:tabs>
        <w:spacing w:after="120"/>
        <w:rPr>
          <w:color w:val="6B6C6D" w:themeColor="accent3"/>
        </w:rPr>
      </w:pPr>
      <w:r w:rsidRPr="00F94EDC">
        <w:rPr>
          <w:b/>
          <w:color w:val="6B6C6D" w:themeColor="accent3"/>
        </w:rPr>
        <w:t>Next Review</w:t>
      </w:r>
      <w:r w:rsidRPr="00F94EDC">
        <w:rPr>
          <w:b/>
          <w:color w:val="6B6C6D" w:themeColor="accent3"/>
        </w:rPr>
        <w:tab/>
      </w:r>
      <w:r w:rsidR="00BC6FE9">
        <w:rPr>
          <w:color w:val="6B6C6D" w:themeColor="accent3"/>
        </w:rPr>
        <w:t>June 2025</w:t>
      </w:r>
    </w:p>
    <w:p w:rsidR="00F94EDC" w:rsidRPr="00F94EDC" w:rsidRDefault="00F94EDC" w:rsidP="00F94EDC">
      <w:pPr>
        <w:tabs>
          <w:tab w:val="left" w:pos="5103"/>
        </w:tabs>
        <w:rPr>
          <w:b/>
          <w:color w:val="6B6C6D" w:themeColor="accent3"/>
        </w:rPr>
      </w:pPr>
      <w:r w:rsidRPr="00F94EDC">
        <w:rPr>
          <w:b/>
          <w:color w:val="6B6C6D" w:themeColor="accent3"/>
        </w:rPr>
        <w:t>Responsible Unit</w:t>
      </w:r>
      <w:r w:rsidRPr="00F94EDC">
        <w:rPr>
          <w:b/>
          <w:color w:val="6B6C6D" w:themeColor="accent3"/>
        </w:rPr>
        <w:tab/>
      </w:r>
      <w:r w:rsidR="00737028">
        <w:rPr>
          <w:color w:val="6B6C6D" w:themeColor="accent3"/>
        </w:rPr>
        <w:t>Business Support Team</w:t>
      </w:r>
    </w:p>
    <w:sectPr w:rsidR="00F94EDC" w:rsidRPr="00F94EDC" w:rsidSect="00F94EDC">
      <w:headerReference w:type="default" r:id="rId7"/>
      <w:footerReference w:type="default" r:id="rId8"/>
      <w:headerReference w:type="first" r:id="rId9"/>
      <w:footerReference w:type="first" r:id="rId10"/>
      <w:pgSz w:w="11906" w:h="16838" w:code="9"/>
      <w:pgMar w:top="2268" w:right="851" w:bottom="1134" w:left="1332"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5E" w:rsidRDefault="00F74E5E" w:rsidP="00615BBA">
      <w:r>
        <w:separator/>
      </w:r>
    </w:p>
  </w:endnote>
  <w:endnote w:type="continuationSeparator" w:id="0">
    <w:p w:rsidR="00F74E5E" w:rsidRDefault="00F74E5E"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C6" w:rsidRPr="003878C6" w:rsidRDefault="003878C6" w:rsidP="00F94EDC">
    <w:pPr>
      <w:pStyle w:val="Footer"/>
      <w:pBdr>
        <w:top w:val="none" w:sz="0" w:space="0" w:color="auto"/>
      </w:pBdr>
    </w:pPr>
    <w:r w:rsidRPr="003878C6">
      <w:fldChar w:fldCharType="begin"/>
    </w:r>
    <w:r w:rsidRPr="003878C6">
      <w:instrText xml:space="preserve"> PAGE   \* MERGEFORMAT </w:instrText>
    </w:r>
    <w:r w:rsidRPr="003878C6">
      <w:fldChar w:fldCharType="separate"/>
    </w:r>
    <w:r w:rsidRPr="003878C6">
      <w:t>1</w:t>
    </w:r>
    <w:r w:rsidRPr="003878C6">
      <w:fldChar w:fldCharType="end"/>
    </w:r>
    <w:r w:rsidRPr="003878C6">
      <w:t xml:space="preserve"> |</w:t>
    </w:r>
    <w:r>
      <w:t xml:space="preserve"> </w:t>
    </w:r>
    <w:r w:rsidRPr="003878C6">
      <w:rPr>
        <w:spacing w:val="60"/>
      </w:rPr>
      <w:t>Pag</w:t>
    </w:r>
    <w: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DC" w:rsidRDefault="00F94EDC" w:rsidP="00F94EDC">
    <w:pPr>
      <w:pStyle w:val="Footer"/>
      <w:pBdr>
        <w:top w:val="none" w:sz="0" w:space="0" w:color="auto"/>
      </w:pBdr>
    </w:pPr>
    <w:r w:rsidRPr="003878C6">
      <w:fldChar w:fldCharType="begin"/>
    </w:r>
    <w:r w:rsidRPr="003878C6">
      <w:instrText xml:space="preserve"> PAGE   \* MERGEFORMAT </w:instrText>
    </w:r>
    <w:r w:rsidRPr="003878C6">
      <w:fldChar w:fldCharType="separate"/>
    </w:r>
    <w:r>
      <w:t>2</w:t>
    </w:r>
    <w:r w:rsidRPr="003878C6">
      <w:fldChar w:fldCharType="end"/>
    </w:r>
    <w:r w:rsidRPr="003878C6">
      <w:t xml:space="preserve"> |</w:t>
    </w:r>
    <w:r>
      <w:t xml:space="preserve"> </w:t>
    </w:r>
    <w:r w:rsidRPr="003878C6">
      <w:rPr>
        <w:spacing w:val="60"/>
      </w:rPr>
      <w:t>Pag</w:t>
    </w: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5E" w:rsidRDefault="00F74E5E" w:rsidP="00615BBA">
      <w:r>
        <w:separator/>
      </w:r>
    </w:p>
  </w:footnote>
  <w:footnote w:type="continuationSeparator" w:id="0">
    <w:p w:rsidR="00F74E5E" w:rsidRDefault="00F74E5E"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F5" w:rsidRDefault="003878C6" w:rsidP="00BC779E">
    <w:pPr>
      <w:pStyle w:val="Header"/>
    </w:pPr>
    <w:r>
      <w:rPr>
        <w:noProof/>
      </w:rPr>
      <w:drawing>
        <wp:anchor distT="0" distB="0" distL="114300" distR="114300" simplePos="0" relativeHeight="251662848" behindDoc="1" locked="0" layoutInCell="1" allowOverlap="1" wp14:anchorId="01065E49" wp14:editId="06E33332">
          <wp:simplePos x="0" y="0"/>
          <wp:positionH relativeFrom="page">
            <wp:align>right</wp:align>
          </wp:positionH>
          <wp:positionV relativeFrom="page">
            <wp:align>top</wp:align>
          </wp:positionV>
          <wp:extent cx="7560000" cy="10682609"/>
          <wp:effectExtent l="0" t="0" r="3175"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75-EMRC Letterhead Template-3.png"/>
                  <pic:cNvPicPr/>
                </pic:nvPicPr>
                <pic:blipFill>
                  <a:blip r:embed="rId1"/>
                  <a:stretch>
                    <a:fillRect/>
                  </a:stretch>
                </pic:blipFill>
                <pic:spPr>
                  <a:xfrm>
                    <a:off x="0" y="0"/>
                    <a:ext cx="7560000" cy="106826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C6" w:rsidRDefault="0037627F" w:rsidP="00BC779E">
    <w:pPr>
      <w:pStyle w:val="Header"/>
    </w:pPr>
    <w:r>
      <w:rPr>
        <w:noProof/>
      </w:rPr>
      <w:drawing>
        <wp:anchor distT="0" distB="0" distL="114300" distR="114300" simplePos="0" relativeHeight="251664896" behindDoc="1" locked="0" layoutInCell="1" allowOverlap="1" wp14:anchorId="27ADFA70" wp14:editId="208264EB">
          <wp:simplePos x="0" y="0"/>
          <wp:positionH relativeFrom="page">
            <wp:posOffset>-23701</wp:posOffset>
          </wp:positionH>
          <wp:positionV relativeFrom="page">
            <wp:posOffset>-11251</wp:posOffset>
          </wp:positionV>
          <wp:extent cx="2114550"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
                  <a:srcRect r="72029"/>
                  <a:stretch/>
                </pic:blipFill>
                <pic:spPr bwMode="auto">
                  <a:xfrm>
                    <a:off x="0" y="0"/>
                    <a:ext cx="2114550"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B6C6D"/>
    <w:multiLevelType w:val="multilevel"/>
    <w:tmpl w:val="A3742738"/>
    <w:styleLink w:val="Indent1Bullets"/>
    <w:lvl w:ilvl="0">
      <w:start w:val="1"/>
      <w:numFmt w:val="bullet"/>
      <w:pStyle w:val="Indent1Bullet1"/>
      <w:lvlText w:val=""/>
      <w:lvlJc w:val="left"/>
      <w:pPr>
        <w:ind w:left="936" w:hanging="369"/>
      </w:pPr>
      <w:rPr>
        <w:rFonts w:ascii="Wingdings" w:hAnsi="Wingdings" w:hint="default"/>
        <w:color w:val="313253" w:themeColor="accent5"/>
      </w:rPr>
    </w:lvl>
    <w:lvl w:ilvl="1">
      <w:start w:val="1"/>
      <w:numFmt w:val="bullet"/>
      <w:pStyle w:val="Indent1Bullet2"/>
      <w:lvlText w:val=""/>
      <w:lvlJc w:val="left"/>
      <w:pPr>
        <w:ind w:left="1304" w:hanging="368"/>
      </w:pPr>
      <w:rPr>
        <w:rFonts w:ascii="Wingdings" w:hAnsi="Wingdings" w:hint="default"/>
        <w:color w:val="C1A408" w:themeColor="accent4"/>
      </w:rPr>
    </w:lvl>
    <w:lvl w:ilvl="2">
      <w:start w:val="1"/>
      <w:numFmt w:val="bullet"/>
      <w:pStyle w:val="Indent1Bullet3"/>
      <w:lvlText w:val=""/>
      <w:lvlJc w:val="left"/>
      <w:pPr>
        <w:ind w:left="1673"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27265A"/>
    <w:multiLevelType w:val="multilevel"/>
    <w:tmpl w:val="9976BBE8"/>
    <w:styleLink w:val="Bullets"/>
    <w:lvl w:ilvl="0">
      <w:start w:val="1"/>
      <w:numFmt w:val="bullet"/>
      <w:pStyle w:val="EMRCBulletText1"/>
      <w:lvlText w:val=""/>
      <w:lvlJc w:val="left"/>
      <w:pPr>
        <w:ind w:left="3063" w:hanging="369"/>
      </w:pPr>
      <w:rPr>
        <w:rFonts w:ascii="Wingdings" w:hAnsi="Wingdings" w:hint="default"/>
        <w:color w:val="313253" w:themeColor="accent5"/>
      </w:rPr>
    </w:lvl>
    <w:lvl w:ilvl="1">
      <w:start w:val="1"/>
      <w:numFmt w:val="bullet"/>
      <w:pStyle w:val="EMRCBulletText2"/>
      <w:lvlText w:val=""/>
      <w:lvlJc w:val="left"/>
      <w:pPr>
        <w:ind w:left="737" w:hanging="368"/>
      </w:pPr>
      <w:rPr>
        <w:rFonts w:ascii="Wingdings" w:hAnsi="Wingdings" w:hint="default"/>
        <w:color w:val="C1A408" w:themeColor="accent4"/>
      </w:rPr>
    </w:lvl>
    <w:lvl w:ilvl="2">
      <w:start w:val="1"/>
      <w:numFmt w:val="bullet"/>
      <w:pStyle w:val="EMRCBulletText3"/>
      <w:lvlText w:val=""/>
      <w:lvlJc w:val="left"/>
      <w:pPr>
        <w:ind w:left="1106"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FA558B0"/>
    <w:multiLevelType w:val="multilevel"/>
    <w:tmpl w:val="270C7736"/>
    <w:numStyleLink w:val="HeadingNumbers"/>
  </w:abstractNum>
  <w:abstractNum w:abstractNumId="3" w15:restartNumberingAfterBreak="0">
    <w:nsid w:val="74EE1209"/>
    <w:multiLevelType w:val="multilevel"/>
    <w:tmpl w:val="270C7736"/>
    <w:styleLink w:val="HeadingNumber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1418"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3"/>
  </w:num>
  <w:num w:numId="2">
    <w:abstractNumId w:val="1"/>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E1"/>
    <w:rsid w:val="0000672B"/>
    <w:rsid w:val="00011D81"/>
    <w:rsid w:val="000230DC"/>
    <w:rsid w:val="00030EEE"/>
    <w:rsid w:val="00067599"/>
    <w:rsid w:val="00083283"/>
    <w:rsid w:val="000D3355"/>
    <w:rsid w:val="0017381F"/>
    <w:rsid w:val="00180EDE"/>
    <w:rsid w:val="00184472"/>
    <w:rsid w:val="001919DE"/>
    <w:rsid w:val="001972ED"/>
    <w:rsid w:val="001B2A05"/>
    <w:rsid w:val="001B7C0B"/>
    <w:rsid w:val="001E487F"/>
    <w:rsid w:val="001F0FA8"/>
    <w:rsid w:val="002614A1"/>
    <w:rsid w:val="002A5B1F"/>
    <w:rsid w:val="00347A2D"/>
    <w:rsid w:val="00355BC7"/>
    <w:rsid w:val="0037627F"/>
    <w:rsid w:val="003878C6"/>
    <w:rsid w:val="003D64F5"/>
    <w:rsid w:val="003E6897"/>
    <w:rsid w:val="00420DEE"/>
    <w:rsid w:val="00422F86"/>
    <w:rsid w:val="004458E3"/>
    <w:rsid w:val="004750C8"/>
    <w:rsid w:val="00585140"/>
    <w:rsid w:val="005C47A3"/>
    <w:rsid w:val="005D2132"/>
    <w:rsid w:val="00615BBA"/>
    <w:rsid w:val="00620F89"/>
    <w:rsid w:val="00654504"/>
    <w:rsid w:val="006670EB"/>
    <w:rsid w:val="006A32E9"/>
    <w:rsid w:val="00737028"/>
    <w:rsid w:val="007B6004"/>
    <w:rsid w:val="007C620E"/>
    <w:rsid w:val="007E667C"/>
    <w:rsid w:val="007E6F1E"/>
    <w:rsid w:val="00817A68"/>
    <w:rsid w:val="008A3706"/>
    <w:rsid w:val="008B4DC4"/>
    <w:rsid w:val="008B7CD6"/>
    <w:rsid w:val="00935655"/>
    <w:rsid w:val="00961CBC"/>
    <w:rsid w:val="009A404E"/>
    <w:rsid w:val="009B6858"/>
    <w:rsid w:val="00A16305"/>
    <w:rsid w:val="00A16568"/>
    <w:rsid w:val="00A52E08"/>
    <w:rsid w:val="00AA0ED3"/>
    <w:rsid w:val="00AA67A5"/>
    <w:rsid w:val="00AC204D"/>
    <w:rsid w:val="00AE7D4D"/>
    <w:rsid w:val="00B536C9"/>
    <w:rsid w:val="00B567B6"/>
    <w:rsid w:val="00BB0C1B"/>
    <w:rsid w:val="00BC4E5B"/>
    <w:rsid w:val="00BC62F8"/>
    <w:rsid w:val="00BC6FE9"/>
    <w:rsid w:val="00BC779E"/>
    <w:rsid w:val="00C13108"/>
    <w:rsid w:val="00C666ED"/>
    <w:rsid w:val="00CB0E7C"/>
    <w:rsid w:val="00CD4612"/>
    <w:rsid w:val="00CE0CCB"/>
    <w:rsid w:val="00D00A90"/>
    <w:rsid w:val="00D07AE1"/>
    <w:rsid w:val="00D154F5"/>
    <w:rsid w:val="00D31047"/>
    <w:rsid w:val="00D767E5"/>
    <w:rsid w:val="00D827EA"/>
    <w:rsid w:val="00DC36FF"/>
    <w:rsid w:val="00DD1587"/>
    <w:rsid w:val="00E16C4E"/>
    <w:rsid w:val="00E3426A"/>
    <w:rsid w:val="00EA0B29"/>
    <w:rsid w:val="00EA4C04"/>
    <w:rsid w:val="00EA4D54"/>
    <w:rsid w:val="00EC2F45"/>
    <w:rsid w:val="00EE3102"/>
    <w:rsid w:val="00EF1636"/>
    <w:rsid w:val="00F30506"/>
    <w:rsid w:val="00F54C8C"/>
    <w:rsid w:val="00F63C98"/>
    <w:rsid w:val="00F6749A"/>
    <w:rsid w:val="00F67B9B"/>
    <w:rsid w:val="00F74E5E"/>
    <w:rsid w:val="00F929E7"/>
    <w:rsid w:val="00F94EDC"/>
    <w:rsid w:val="00FD440F"/>
    <w:rsid w:val="00FF2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FED43"/>
  <w15:chartTrackingRefBased/>
  <w15:docId w15:val="{1A11684F-83D2-4983-B48C-97097EA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68"/>
    <w:pPr>
      <w:spacing w:after="0" w:line="240" w:lineRule="auto"/>
      <w:jc w:val="both"/>
    </w:pPr>
  </w:style>
  <w:style w:type="paragraph" w:styleId="Heading1">
    <w:name w:val="heading 1"/>
    <w:next w:val="Normal"/>
    <w:link w:val="Heading1Char"/>
    <w:qFormat/>
    <w:rsid w:val="00420DEE"/>
    <w:pPr>
      <w:keepNext/>
      <w:keepLines/>
      <w:numPr>
        <w:numId w:val="3"/>
      </w:numPr>
      <w:spacing w:before="240" w:after="180" w:line="240" w:lineRule="auto"/>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Normal"/>
    <w:link w:val="Heading2Char"/>
    <w:uiPriority w:val="1"/>
    <w:unhideWhenUsed/>
    <w:qFormat/>
    <w:rsid w:val="00420DEE"/>
    <w:pPr>
      <w:numPr>
        <w:ilvl w:val="1"/>
      </w:numPr>
      <w:outlineLvl w:val="1"/>
    </w:pPr>
    <w:rPr>
      <w:color w:val="C1A408" w:themeColor="accent4"/>
      <w:szCs w:val="26"/>
    </w:rPr>
  </w:style>
  <w:style w:type="paragraph" w:styleId="Heading3">
    <w:name w:val="heading 3"/>
    <w:basedOn w:val="Heading2"/>
    <w:next w:val="Normal"/>
    <w:link w:val="Heading3Char"/>
    <w:uiPriority w:val="9"/>
    <w:unhideWhenUsed/>
    <w:qFormat/>
    <w:rsid w:val="00420DEE"/>
    <w:pPr>
      <w:numPr>
        <w:ilvl w:val="2"/>
      </w:numPr>
      <w:outlineLvl w:val="2"/>
    </w:pPr>
    <w:rPr>
      <w:color w:val="6B6C6D"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DE"/>
    <w:pPr>
      <w:tabs>
        <w:tab w:val="center" w:pos="4820"/>
        <w:tab w:val="right" w:pos="9673"/>
      </w:tabs>
      <w:spacing w:after="240"/>
    </w:pPr>
  </w:style>
  <w:style w:type="character" w:customStyle="1" w:styleId="HeaderChar">
    <w:name w:val="Header Char"/>
    <w:basedOn w:val="DefaultParagraphFont"/>
    <w:link w:val="Header"/>
    <w:uiPriority w:val="99"/>
    <w:rsid w:val="00180EDE"/>
  </w:style>
  <w:style w:type="paragraph" w:styleId="Footer">
    <w:name w:val="footer"/>
    <w:basedOn w:val="Normal"/>
    <w:link w:val="FooterChar"/>
    <w:uiPriority w:val="99"/>
    <w:unhideWhenUsed/>
    <w:rsid w:val="00180EDE"/>
    <w:pPr>
      <w:pBdr>
        <w:top w:val="single" w:sz="4" w:space="1" w:color="313253" w:themeColor="accent5"/>
      </w:pBdr>
      <w:tabs>
        <w:tab w:val="center" w:pos="4820"/>
        <w:tab w:val="right" w:pos="9715"/>
      </w:tabs>
      <w:spacing w:after="240"/>
      <w:jc w:val="right"/>
    </w:pPr>
    <w:rPr>
      <w:color w:val="313253" w:themeColor="accent5"/>
      <w:sz w:val="16"/>
    </w:rPr>
  </w:style>
  <w:style w:type="character" w:customStyle="1" w:styleId="FooterChar">
    <w:name w:val="Footer Char"/>
    <w:basedOn w:val="DefaultParagraphFont"/>
    <w:link w:val="Footer"/>
    <w:uiPriority w:val="99"/>
    <w:rsid w:val="00180EDE"/>
    <w:rPr>
      <w:color w:val="313253" w:themeColor="accent5"/>
      <w:sz w:val="16"/>
    </w:rPr>
  </w:style>
  <w:style w:type="character" w:styleId="Hyperlink">
    <w:name w:val="Hyperlink"/>
    <w:basedOn w:val="DefaultParagraphFont"/>
    <w:uiPriority w:val="99"/>
    <w:unhideWhenUsed/>
    <w:rsid w:val="00D767E5"/>
    <w:rPr>
      <w:color w:val="6B6C6D" w:themeColor="hyperlink"/>
      <w:u w:val="single"/>
    </w:rPr>
  </w:style>
  <w:style w:type="table" w:styleId="TableGrid">
    <w:name w:val="Table Grid"/>
    <w:basedOn w:val="TableNormal"/>
    <w:uiPriority w:val="59"/>
    <w:rsid w:val="00AC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Reference">
    <w:name w:val="OurReference"/>
    <w:basedOn w:val="Normal"/>
    <w:qFormat/>
    <w:rsid w:val="009B6858"/>
    <w:pPr>
      <w:tabs>
        <w:tab w:val="left" w:pos="7797"/>
      </w:tabs>
      <w:ind w:left="6917"/>
    </w:pPr>
    <w:rPr>
      <w:color w:val="313253" w:themeColor="accent5"/>
      <w:sz w:val="18"/>
      <w:szCs w:val="18"/>
    </w:rPr>
  </w:style>
  <w:style w:type="paragraph" w:customStyle="1" w:styleId="SignBlockEMRC">
    <w:name w:val="_Sign Block EMRC"/>
    <w:basedOn w:val="Normal"/>
    <w:next w:val="Normal"/>
    <w:qFormat/>
    <w:rsid w:val="00A16568"/>
    <w:rPr>
      <w:b/>
      <w:bCs/>
      <w:color w:val="313253" w:themeColor="accent5"/>
    </w:rPr>
  </w:style>
  <w:style w:type="paragraph" w:customStyle="1" w:styleId="SignBlockWriterTitle">
    <w:name w:val="_Sign Block Writer Title"/>
    <w:basedOn w:val="Normal"/>
    <w:next w:val="Normal"/>
    <w:qFormat/>
    <w:rsid w:val="009B6858"/>
    <w:rPr>
      <w:color w:val="6B6C6D" w:themeColor="accent3"/>
    </w:rPr>
  </w:style>
  <w:style w:type="paragraph" w:customStyle="1" w:styleId="Subject">
    <w:name w:val="_Subject"/>
    <w:basedOn w:val="Normal"/>
    <w:next w:val="Normal"/>
    <w:qFormat/>
    <w:rsid w:val="009A404E"/>
    <w:rPr>
      <w:rFonts w:ascii="Arial Narrow" w:hAnsi="Arial Narrow"/>
      <w:b/>
    </w:rPr>
  </w:style>
  <w:style w:type="character" w:customStyle="1" w:styleId="Heading1Char">
    <w:name w:val="Heading 1 Char"/>
    <w:basedOn w:val="DefaultParagraphFont"/>
    <w:link w:val="Heading1"/>
    <w:rsid w:val="00420DEE"/>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1"/>
    <w:rsid w:val="00420DEE"/>
    <w:rPr>
      <w:rFonts w:asciiTheme="majorHAnsi" w:eastAsiaTheme="majorEastAsia" w:hAnsiTheme="majorHAnsi" w:cstheme="majorBidi"/>
      <w:b/>
      <w:color w:val="C1A408" w:themeColor="accent4"/>
      <w:sz w:val="24"/>
      <w:szCs w:val="26"/>
      <w:lang w:val="en-US"/>
    </w:rPr>
  </w:style>
  <w:style w:type="numbering" w:customStyle="1" w:styleId="HeadingNumbers">
    <w:name w:val="Heading Numbers"/>
    <w:uiPriority w:val="99"/>
    <w:rsid w:val="007C620E"/>
    <w:pPr>
      <w:numPr>
        <w:numId w:val="1"/>
      </w:numPr>
    </w:pPr>
  </w:style>
  <w:style w:type="paragraph" w:customStyle="1" w:styleId="EMRCBulletText1">
    <w:name w:val="_EMRC Bullet Text 1"/>
    <w:basedOn w:val="Normal"/>
    <w:qFormat/>
    <w:rsid w:val="00180EDE"/>
    <w:pPr>
      <w:numPr>
        <w:numId w:val="4"/>
      </w:numPr>
      <w:spacing w:after="120"/>
    </w:pPr>
  </w:style>
  <w:style w:type="numbering" w:customStyle="1" w:styleId="Bullets">
    <w:name w:val="Bullets"/>
    <w:uiPriority w:val="99"/>
    <w:rsid w:val="00180EDE"/>
    <w:pPr>
      <w:numPr>
        <w:numId w:val="2"/>
      </w:numPr>
    </w:pPr>
  </w:style>
  <w:style w:type="paragraph" w:customStyle="1" w:styleId="EMRCBulletText2">
    <w:name w:val="_EMRC Bullet Text 2"/>
    <w:basedOn w:val="EMRCBulletText1"/>
    <w:qFormat/>
    <w:rsid w:val="00180EDE"/>
    <w:pPr>
      <w:numPr>
        <w:ilvl w:val="1"/>
      </w:numPr>
    </w:pPr>
  </w:style>
  <w:style w:type="paragraph" w:customStyle="1" w:styleId="EMRCBulletText3">
    <w:name w:val="_EMRC Bullet Text 3"/>
    <w:basedOn w:val="EMRCBulletText2"/>
    <w:qFormat/>
    <w:rsid w:val="00180EDE"/>
    <w:pPr>
      <w:numPr>
        <w:ilvl w:val="2"/>
      </w:numPr>
    </w:pPr>
  </w:style>
  <w:style w:type="character" w:styleId="Emphasis">
    <w:name w:val="Emphasis"/>
    <w:basedOn w:val="DefaultParagraphFont"/>
    <w:uiPriority w:val="20"/>
    <w:qFormat/>
    <w:rsid w:val="00BC779E"/>
    <w:rPr>
      <w:i/>
      <w:iCs/>
    </w:rPr>
  </w:style>
  <w:style w:type="character" w:customStyle="1" w:styleId="Heading3Char">
    <w:name w:val="Heading 3 Char"/>
    <w:basedOn w:val="DefaultParagraphFont"/>
    <w:link w:val="Heading3"/>
    <w:uiPriority w:val="9"/>
    <w:rsid w:val="00420DEE"/>
    <w:rPr>
      <w:rFonts w:asciiTheme="majorHAnsi" w:eastAsiaTheme="majorEastAsia" w:hAnsiTheme="majorHAnsi" w:cstheme="majorBidi"/>
      <w:b/>
      <w:color w:val="6B6C6D" w:themeColor="accent3"/>
      <w:sz w:val="24"/>
      <w:szCs w:val="24"/>
      <w:lang w:val="en-US"/>
    </w:rPr>
  </w:style>
  <w:style w:type="paragraph" w:customStyle="1" w:styleId="1CoverPageEMRC">
    <w:name w:val="_1Cover Page EMRC"/>
    <w:basedOn w:val="Normal"/>
    <w:next w:val="Normal"/>
    <w:qFormat/>
    <w:rsid w:val="006670EB"/>
    <w:pPr>
      <w:spacing w:before="960" w:after="240"/>
    </w:pPr>
    <w:rPr>
      <w:rFonts w:asciiTheme="majorHAnsi" w:hAnsiTheme="majorHAnsi"/>
      <w:b/>
      <w:bCs/>
      <w:color w:val="313253" w:themeColor="accent5"/>
      <w:sz w:val="48"/>
      <w:szCs w:val="48"/>
    </w:rPr>
  </w:style>
  <w:style w:type="paragraph" w:customStyle="1" w:styleId="2CoverPageDepartment">
    <w:name w:val="_2Cover Page Department"/>
    <w:basedOn w:val="Normal"/>
    <w:next w:val="Normal"/>
    <w:qFormat/>
    <w:rsid w:val="006670EB"/>
    <w:pPr>
      <w:spacing w:after="240"/>
    </w:pPr>
    <w:rPr>
      <w:b/>
      <w:color w:val="313253" w:themeColor="accent5"/>
      <w:sz w:val="36"/>
      <w:szCs w:val="36"/>
    </w:rPr>
  </w:style>
  <w:style w:type="paragraph" w:customStyle="1" w:styleId="3CoverPageTitle">
    <w:name w:val="_3Cover Page Title"/>
    <w:basedOn w:val="Normal"/>
    <w:next w:val="Normal"/>
    <w:qFormat/>
    <w:rsid w:val="006670EB"/>
    <w:pPr>
      <w:spacing w:after="240"/>
    </w:pPr>
    <w:rPr>
      <w:b/>
      <w:color w:val="C1A408" w:themeColor="accent4"/>
      <w:sz w:val="28"/>
      <w:szCs w:val="28"/>
    </w:rPr>
  </w:style>
  <w:style w:type="paragraph" w:customStyle="1" w:styleId="4CoverPageSubtitle">
    <w:name w:val="_4Cover Page Subtitle"/>
    <w:basedOn w:val="Normal"/>
    <w:next w:val="Normal"/>
    <w:qFormat/>
    <w:rsid w:val="00180EDE"/>
    <w:pPr>
      <w:spacing w:after="480"/>
      <w:jc w:val="center"/>
    </w:pPr>
    <w:rPr>
      <w:b/>
      <w:bCs/>
      <w:color w:val="313253" w:themeColor="accent5"/>
      <w:sz w:val="48"/>
      <w:szCs w:val="48"/>
    </w:rPr>
  </w:style>
  <w:style w:type="paragraph" w:customStyle="1" w:styleId="HeadingNoNumber">
    <w:name w:val="_Heading No Number"/>
    <w:next w:val="Normal"/>
    <w:qFormat/>
    <w:rsid w:val="00180EDE"/>
    <w:pPr>
      <w:spacing w:before="240" w:after="180" w:line="240" w:lineRule="auto"/>
    </w:pPr>
    <w:rPr>
      <w:rFonts w:asciiTheme="majorHAnsi" w:eastAsiaTheme="majorEastAsia" w:hAnsiTheme="majorHAnsi" w:cstheme="majorBidi"/>
      <w:b/>
      <w:color w:val="313253" w:themeColor="accent5"/>
      <w:sz w:val="24"/>
      <w:szCs w:val="32"/>
      <w:lang w:val="en-US"/>
    </w:rPr>
  </w:style>
  <w:style w:type="paragraph" w:customStyle="1" w:styleId="Indent1">
    <w:name w:val="_Indent 1"/>
    <w:basedOn w:val="Normal"/>
    <w:qFormat/>
    <w:rsid w:val="00180EDE"/>
    <w:pPr>
      <w:spacing w:after="240"/>
      <w:ind w:left="567"/>
    </w:pPr>
  </w:style>
  <w:style w:type="paragraph" w:customStyle="1" w:styleId="Indent2">
    <w:name w:val="_Indent 2"/>
    <w:basedOn w:val="Indent1"/>
    <w:qFormat/>
    <w:rsid w:val="00180EDE"/>
    <w:pPr>
      <w:ind w:left="1418"/>
    </w:pPr>
  </w:style>
  <w:style w:type="paragraph" w:customStyle="1" w:styleId="Indent1Bullet1">
    <w:name w:val="_Indent1Bullet1"/>
    <w:basedOn w:val="Normal"/>
    <w:qFormat/>
    <w:rsid w:val="00180EDE"/>
    <w:pPr>
      <w:numPr>
        <w:numId w:val="5"/>
      </w:numPr>
      <w:spacing w:after="120"/>
    </w:pPr>
  </w:style>
  <w:style w:type="paragraph" w:customStyle="1" w:styleId="Indent1Bullet2">
    <w:name w:val="_Indent1Bullet2"/>
    <w:basedOn w:val="Normal"/>
    <w:qFormat/>
    <w:rsid w:val="00180EDE"/>
    <w:pPr>
      <w:numPr>
        <w:ilvl w:val="1"/>
        <w:numId w:val="5"/>
      </w:numPr>
      <w:spacing w:after="120"/>
    </w:pPr>
  </w:style>
  <w:style w:type="paragraph" w:customStyle="1" w:styleId="Indent1Bullet3">
    <w:name w:val="_Indent1Bullet3"/>
    <w:basedOn w:val="Normal"/>
    <w:qFormat/>
    <w:rsid w:val="00180EDE"/>
    <w:pPr>
      <w:numPr>
        <w:ilvl w:val="2"/>
        <w:numId w:val="5"/>
      </w:numPr>
      <w:spacing w:after="120"/>
    </w:pPr>
  </w:style>
  <w:style w:type="paragraph" w:customStyle="1" w:styleId="ListShiresFooter">
    <w:name w:val="_List Shires Footer"/>
    <w:basedOn w:val="Normal"/>
    <w:qFormat/>
    <w:rsid w:val="00180EDE"/>
    <w:pPr>
      <w:spacing w:after="240"/>
      <w:jc w:val="center"/>
    </w:pPr>
    <w:rPr>
      <w:rFonts w:ascii="Arial Narrow" w:hAnsi="Arial Narrow"/>
      <w:color w:val="6B6C6D" w:themeColor="accent3"/>
      <w:sz w:val="18"/>
      <w:szCs w:val="18"/>
    </w:rPr>
  </w:style>
  <w:style w:type="paragraph" w:customStyle="1" w:styleId="TOCHeading">
    <w:name w:val="_TOC Heading"/>
    <w:basedOn w:val="Normal"/>
    <w:next w:val="Normal"/>
    <w:qFormat/>
    <w:rsid w:val="00180EDE"/>
    <w:pPr>
      <w:spacing w:after="240"/>
    </w:pPr>
    <w:rPr>
      <w:b/>
      <w:color w:val="313253" w:themeColor="accent5"/>
      <w:sz w:val="36"/>
      <w:szCs w:val="36"/>
    </w:rPr>
  </w:style>
  <w:style w:type="table" w:customStyle="1" w:styleId="EMRCReportTable">
    <w:name w:val="EMRC Report Table"/>
    <w:basedOn w:val="TableNormal"/>
    <w:uiPriority w:val="99"/>
    <w:rsid w:val="00180EDE"/>
    <w:pPr>
      <w:spacing w:after="0" w:line="240" w:lineRule="auto"/>
    </w:pPr>
    <w:rPr>
      <w:sz w:val="18"/>
    </w:rPr>
    <w:tblPr/>
    <w:tcPr>
      <w:shd w:val="clear" w:color="auto" w:fill="auto"/>
    </w:tcPr>
    <w:tblStylePr w:type="firstRow">
      <w:pPr>
        <w:jc w:val="center"/>
      </w:pPr>
      <w:rPr>
        <w:rFonts w:ascii="Arial Narrow" w:hAnsi="Arial Narrow"/>
        <w:color w:val="C1A408" w:themeColor="accent4"/>
        <w:sz w:val="18"/>
      </w:rPr>
      <w:tblPr/>
      <w:tcPr>
        <w:shd w:val="clear" w:color="auto" w:fill="313253" w:themeFill="accent5"/>
      </w:tcPr>
    </w:tblStylePr>
    <w:tblStylePr w:type="lastRow">
      <w:rPr>
        <w:rFonts w:asciiTheme="minorHAnsi" w:hAnsiTheme="minorHAnsi"/>
        <w:sz w:val="18"/>
      </w:rPr>
    </w:tblStylePr>
  </w:style>
  <w:style w:type="numbering" w:customStyle="1" w:styleId="Indent1Bullets">
    <w:name w:val="Indent1Bullets"/>
    <w:uiPriority w:val="99"/>
    <w:rsid w:val="00180EDE"/>
    <w:pPr>
      <w:numPr>
        <w:numId w:val="5"/>
      </w:numPr>
    </w:pPr>
  </w:style>
  <w:style w:type="paragraph" w:styleId="TOC1">
    <w:name w:val="toc 1"/>
    <w:basedOn w:val="Normal"/>
    <w:next w:val="Normal"/>
    <w:uiPriority w:val="39"/>
    <w:unhideWhenUsed/>
    <w:rsid w:val="00180EDE"/>
    <w:pPr>
      <w:tabs>
        <w:tab w:val="right" w:leader="dot" w:pos="9713"/>
      </w:tabs>
      <w:spacing w:after="100"/>
      <w:ind w:left="567" w:right="284" w:hanging="567"/>
    </w:pPr>
    <w:rPr>
      <w:noProof/>
    </w:rPr>
  </w:style>
  <w:style w:type="paragraph" w:styleId="TOC2">
    <w:name w:val="toc 2"/>
    <w:basedOn w:val="Normal"/>
    <w:next w:val="Normal"/>
    <w:uiPriority w:val="39"/>
    <w:unhideWhenUsed/>
    <w:rsid w:val="00180EDE"/>
    <w:pPr>
      <w:tabs>
        <w:tab w:val="right" w:leader="dot" w:pos="9713"/>
      </w:tabs>
      <w:spacing w:after="100"/>
      <w:ind w:left="1134" w:right="284" w:hanging="567"/>
    </w:pPr>
    <w:rPr>
      <w:noProof/>
    </w:rPr>
  </w:style>
  <w:style w:type="paragraph" w:styleId="TOC3">
    <w:name w:val="toc 3"/>
    <w:basedOn w:val="Normal"/>
    <w:next w:val="Normal"/>
    <w:uiPriority w:val="39"/>
    <w:unhideWhenUsed/>
    <w:rsid w:val="00180EDE"/>
    <w:pPr>
      <w:tabs>
        <w:tab w:val="right" w:leader="dot" w:pos="9713"/>
      </w:tabs>
      <w:spacing w:after="100"/>
      <w:ind w:left="1134" w:right="28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For%20Theresa%20-%2010%20Sep\EMRC%20Template%20-%20Theresa.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F68B32"/>
      </a:accent2>
      <a:accent3>
        <a:srgbClr val="6B6C6D"/>
      </a:accent3>
      <a:accent4>
        <a:srgbClr val="C1A408"/>
      </a:accent4>
      <a:accent5>
        <a:srgbClr val="313253"/>
      </a:accent5>
      <a:accent6>
        <a:srgbClr val="76923C"/>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EMRC Template - Theresa.dotx</Template>
  <TotalTime>1</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David Bleakley</cp:lastModifiedBy>
  <cp:revision>3</cp:revision>
  <cp:lastPrinted>2021-06-02T08:38:00Z</cp:lastPrinted>
  <dcterms:created xsi:type="dcterms:W3CDTF">2021-07-19T08:25:00Z</dcterms:created>
  <dcterms:modified xsi:type="dcterms:W3CDTF">2021-07-19T08:36:00Z</dcterms:modified>
</cp:coreProperties>
</file>