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56865" w14:textId="77777777" w:rsidR="00DD1587" w:rsidRPr="006670EB" w:rsidRDefault="00030EEE" w:rsidP="006670EB">
      <w:pPr>
        <w:pStyle w:val="1CoverPageEMRC"/>
        <w:spacing w:before="0"/>
      </w:pPr>
      <w:r>
        <w:t xml:space="preserve">Council Policy </w:t>
      </w:r>
      <w:r w:rsidR="00A76826">
        <w:t>6.</w:t>
      </w:r>
      <w:r w:rsidR="004F63BF">
        <w:t>3</w:t>
      </w:r>
    </w:p>
    <w:p w14:paraId="07629FAB" w14:textId="77777777" w:rsidR="006670EB" w:rsidRPr="006670EB" w:rsidRDefault="00A76826" w:rsidP="006670EB">
      <w:pPr>
        <w:pStyle w:val="2CoverPageDepartment"/>
      </w:pPr>
      <w:r>
        <w:t>Attendance at Events</w:t>
      </w:r>
    </w:p>
    <w:p w14:paraId="6D9426B5" w14:textId="77777777" w:rsidR="006670EB" w:rsidRDefault="00030EEE" w:rsidP="006670EB">
      <w:pPr>
        <w:pStyle w:val="3CoverPageTitle"/>
      </w:pPr>
      <w:r w:rsidRPr="00030EEE">
        <w:t>Strategic Plan Objective</w:t>
      </w:r>
    </w:p>
    <w:p w14:paraId="2E7A3F6D" w14:textId="6F07D651" w:rsidR="00E0164A" w:rsidRPr="00E0164A" w:rsidRDefault="00E0164A" w:rsidP="006670EB">
      <w:pPr>
        <w:spacing w:after="240"/>
      </w:pPr>
      <w:r w:rsidRPr="00517B15">
        <w:rPr>
          <w:rStyle w:val="normaltextrun"/>
          <w:rFonts w:ascii="Arial Narrow" w:hAnsi="Arial Narrow"/>
          <w:iCs/>
          <w:color w:val="000000"/>
          <w:shd w:val="clear" w:color="auto" w:fill="FFFFFF"/>
        </w:rPr>
        <w:t>To</w:t>
      </w:r>
      <w:r w:rsidR="00261511">
        <w:rPr>
          <w:rStyle w:val="normaltextrun"/>
          <w:rFonts w:ascii="Arial Narrow" w:hAnsi="Arial Narrow"/>
          <w:iCs/>
          <w:color w:val="000000"/>
          <w:shd w:val="clear" w:color="auto" w:fill="FFFFFF"/>
        </w:rPr>
        <w:t xml:space="preserve"> achieve the EMRC Plan for the Future in accordance with </w:t>
      </w:r>
      <w:r w:rsidRPr="00517B15">
        <w:rPr>
          <w:rStyle w:val="normaltextrun"/>
          <w:iCs/>
        </w:rPr>
        <w:t xml:space="preserve">the revised </w:t>
      </w:r>
      <w:r w:rsidRPr="00E0164A">
        <w:rPr>
          <w:rStyle w:val="normaltextrun"/>
          <w:i/>
          <w:iCs/>
        </w:rPr>
        <w:t>10 Year Strategic Plan 2017-2027</w:t>
      </w:r>
      <w:r w:rsidRPr="00517B15">
        <w:rPr>
          <w:rStyle w:val="normaltextrun"/>
          <w:iCs/>
        </w:rPr>
        <w:t xml:space="preserve"> and the </w:t>
      </w:r>
      <w:r w:rsidRPr="00E0164A">
        <w:rPr>
          <w:rStyle w:val="normaltextrun"/>
          <w:i/>
          <w:iCs/>
        </w:rPr>
        <w:t>Sustainability Strategy 2022/2023 – 2026/2027</w:t>
      </w:r>
      <w:r w:rsidRPr="00517B15">
        <w:rPr>
          <w:rStyle w:val="normaltextrun"/>
          <w:iCs/>
        </w:rPr>
        <w:t xml:space="preserve"> objectives</w:t>
      </w:r>
    </w:p>
    <w:p w14:paraId="2D854AEF" w14:textId="77777777" w:rsidR="006670EB" w:rsidRDefault="006670EB" w:rsidP="00F94EDC">
      <w:pPr>
        <w:pStyle w:val="3CoverPageTitle"/>
      </w:pPr>
      <w:r>
        <w:t>Purpose</w:t>
      </w:r>
    </w:p>
    <w:p w14:paraId="6D986B2B" w14:textId="77777777" w:rsidR="006670EB" w:rsidRDefault="00403089" w:rsidP="006670EB">
      <w:pPr>
        <w:spacing w:after="240"/>
      </w:pPr>
      <w:r>
        <w:t xml:space="preserve">The purpose of this policy is to meet legislative requirements of Section 5.90A of the </w:t>
      </w:r>
      <w:r w:rsidRPr="00403089">
        <w:rPr>
          <w:i/>
        </w:rPr>
        <w:t>Local Government Act 1995</w:t>
      </w:r>
      <w:r>
        <w:t xml:space="preserve"> </w:t>
      </w:r>
      <w:r w:rsidR="008128D9">
        <w:t>(Act)</w:t>
      </w:r>
      <w:r>
        <w:t xml:space="preserve"> and to provide transparency regarding </w:t>
      </w:r>
      <w:r w:rsidR="00870727">
        <w:t>E</w:t>
      </w:r>
      <w:r>
        <w:t xml:space="preserve">vents attended by council members and the Chief Executive Officer (CEO) where tickets, or invitations have been provided to the EMRC as a </w:t>
      </w:r>
      <w:r w:rsidR="009834B1">
        <w:t>G</w:t>
      </w:r>
      <w:r>
        <w:t xml:space="preserve">ift, without restricting a council member’s or the CEO’s </w:t>
      </w:r>
      <w:r w:rsidR="008128D9">
        <w:t>ability to participate in Council meetings.</w:t>
      </w:r>
    </w:p>
    <w:p w14:paraId="0B54413E" w14:textId="77777777" w:rsidR="006670EB" w:rsidRDefault="006670EB" w:rsidP="00F94EDC">
      <w:pPr>
        <w:pStyle w:val="3CoverPageTitle"/>
      </w:pPr>
      <w:r>
        <w:t>Scope</w:t>
      </w:r>
    </w:p>
    <w:p w14:paraId="3A579B4D" w14:textId="43CB5097" w:rsidR="006670EB" w:rsidRDefault="008128D9" w:rsidP="006670EB">
      <w:pPr>
        <w:spacing w:after="240"/>
      </w:pPr>
      <w:r>
        <w:t>This policy covers invitations addressed to the CEO</w:t>
      </w:r>
      <w:r w:rsidR="00997B10">
        <w:t>, Chair</w:t>
      </w:r>
      <w:r w:rsidR="006C1637">
        <w:t>person</w:t>
      </w:r>
      <w:r w:rsidR="00997B10">
        <w:t xml:space="preserve"> or Councillor</w:t>
      </w:r>
      <w:r>
        <w:t xml:space="preserve"> of the EMRC that invite EMRC council member/s or the CEO to attend an </w:t>
      </w:r>
      <w:r w:rsidR="00870727">
        <w:t>E</w:t>
      </w:r>
      <w:r>
        <w:t xml:space="preserve">vent. Any invitations or offer of tickets not addressed in this manner is not captured by this policy and must be disclosed in accordance with the </w:t>
      </w:r>
      <w:r w:rsidR="009834B1">
        <w:t>G</w:t>
      </w:r>
      <w:r>
        <w:t>ift and interest provisions in the Act.</w:t>
      </w:r>
    </w:p>
    <w:p w14:paraId="4DEDA027" w14:textId="77777777" w:rsidR="006670EB" w:rsidRDefault="006670EB" w:rsidP="00F94EDC">
      <w:pPr>
        <w:pStyle w:val="3CoverPageTitle"/>
      </w:pPr>
      <w:r>
        <w:t>Definitions</w:t>
      </w:r>
    </w:p>
    <w:p w14:paraId="3025E770" w14:textId="77777777" w:rsidR="006670EB" w:rsidRDefault="008128D9" w:rsidP="008128D9">
      <w:pPr>
        <w:spacing w:after="240"/>
        <w:ind w:left="1440" w:hanging="1440"/>
      </w:pPr>
      <w:r>
        <w:rPr>
          <w:b/>
          <w:color w:val="313253" w:themeColor="accent5"/>
        </w:rPr>
        <w:t>Event</w:t>
      </w:r>
      <w:r w:rsidR="00870727">
        <w:rPr>
          <w:b/>
          <w:color w:val="313253" w:themeColor="accent5"/>
        </w:rPr>
        <w:t>(</w:t>
      </w:r>
      <w:r>
        <w:rPr>
          <w:b/>
          <w:color w:val="313253" w:themeColor="accent5"/>
        </w:rPr>
        <w:t>s</w:t>
      </w:r>
      <w:r w:rsidR="00870727">
        <w:rPr>
          <w:b/>
          <w:color w:val="313253" w:themeColor="accent5"/>
        </w:rPr>
        <w:t>)</w:t>
      </w:r>
      <w:r>
        <w:rPr>
          <w:b/>
          <w:color w:val="313253" w:themeColor="accent5"/>
        </w:rPr>
        <w:tab/>
      </w:r>
      <w:r w:rsidRPr="008128D9">
        <w:t xml:space="preserve">In accordance with section 5.90A of the </w:t>
      </w:r>
      <w:r w:rsidRPr="00924E79">
        <w:rPr>
          <w:i/>
        </w:rPr>
        <w:t>Local Government Act 1995</w:t>
      </w:r>
      <w:r>
        <w:t xml:space="preserve"> events includes, but is not limited to, concerts, conferences, functions and sporting events.</w:t>
      </w:r>
    </w:p>
    <w:p w14:paraId="392C8369" w14:textId="77777777" w:rsidR="008128D9" w:rsidRPr="008128D9" w:rsidRDefault="008128D9" w:rsidP="008128D9">
      <w:pPr>
        <w:spacing w:after="240"/>
        <w:ind w:left="1440" w:hanging="1440"/>
      </w:pPr>
      <w:r>
        <w:rPr>
          <w:b/>
          <w:color w:val="313253" w:themeColor="accent5"/>
        </w:rPr>
        <w:t>Gift</w:t>
      </w:r>
      <w:r>
        <w:rPr>
          <w:b/>
          <w:color w:val="313253" w:themeColor="accent5"/>
        </w:rPr>
        <w:tab/>
      </w:r>
      <w:r w:rsidRPr="00870727">
        <w:t>refers to free</w:t>
      </w:r>
      <w:r w:rsidR="00870727" w:rsidRPr="00870727">
        <w:t>, subsidised and discounted tickets to an event or any travel and accommodation that is related to attending the event.</w:t>
      </w:r>
    </w:p>
    <w:p w14:paraId="7BBA372C" w14:textId="77777777" w:rsidR="006670EB" w:rsidRDefault="00030EEE" w:rsidP="00F94EDC">
      <w:pPr>
        <w:pStyle w:val="3CoverPageTitle"/>
      </w:pPr>
      <w:r>
        <w:t>Legislation</w:t>
      </w:r>
    </w:p>
    <w:p w14:paraId="31E37FA2" w14:textId="77777777" w:rsidR="007062FB" w:rsidRDefault="00870727" w:rsidP="00FB04BC">
      <w:pPr>
        <w:spacing w:after="120"/>
      </w:pPr>
      <w:r>
        <w:t xml:space="preserve">Section 5.90A of the </w:t>
      </w:r>
      <w:r w:rsidRPr="00870727">
        <w:rPr>
          <w:i/>
        </w:rPr>
        <w:t>Local Government Act 1995</w:t>
      </w:r>
    </w:p>
    <w:p w14:paraId="7FA42C02" w14:textId="77777777" w:rsidR="00870727" w:rsidRDefault="00870727" w:rsidP="006670EB">
      <w:pPr>
        <w:spacing w:after="240"/>
      </w:pPr>
      <w:r>
        <w:t xml:space="preserve">Regulation 20B of the </w:t>
      </w:r>
      <w:r w:rsidRPr="00870727">
        <w:rPr>
          <w:i/>
        </w:rPr>
        <w:t>Local Government (Administration) Regulations 1996</w:t>
      </w:r>
    </w:p>
    <w:p w14:paraId="583957D7" w14:textId="77777777" w:rsidR="006670EB" w:rsidRDefault="00030EEE" w:rsidP="00F94EDC">
      <w:pPr>
        <w:pStyle w:val="3CoverPageTitle"/>
      </w:pPr>
      <w:r>
        <w:t>Policy Statement</w:t>
      </w:r>
    </w:p>
    <w:p w14:paraId="2AEBAA8C" w14:textId="77777777" w:rsidR="00C978FC" w:rsidRDefault="00C978FC" w:rsidP="00C978FC">
      <w:r>
        <w:t xml:space="preserve">Council recognises that attendance at </w:t>
      </w:r>
      <w:r w:rsidR="00052548">
        <w:t>E</w:t>
      </w:r>
      <w:r>
        <w:t>vents including conferences, seminars and study tours contributes to the personal and professional development of council members and is consistent with Council’s objectives.</w:t>
      </w:r>
    </w:p>
    <w:p w14:paraId="2DFA95BA" w14:textId="77777777" w:rsidR="00C978FC" w:rsidRDefault="00C978FC" w:rsidP="00C978FC"/>
    <w:p w14:paraId="014EC462" w14:textId="69DF76FC" w:rsidR="00C978FC" w:rsidRDefault="00C978FC" w:rsidP="00C978FC">
      <w:r>
        <w:t xml:space="preserve">Attendance by a council member at an </w:t>
      </w:r>
      <w:r w:rsidR="00897B64">
        <w:t>E</w:t>
      </w:r>
      <w:r>
        <w:t>vent should be consistent with the current or future direction of the EMRC and must be related to a subject matter directly referred to in Council’s approved and adopted publications (i</w:t>
      </w:r>
      <w:r w:rsidR="002A0EF1">
        <w:t>.</w:t>
      </w:r>
      <w:r>
        <w:t>e. Strategic Plan for the Future or annual budget) and identified as an organisational objective.</w:t>
      </w:r>
    </w:p>
    <w:p w14:paraId="45D0A5D7" w14:textId="77777777" w:rsidR="00C978FC" w:rsidRDefault="00C978FC" w:rsidP="00C978FC"/>
    <w:p w14:paraId="7076F275" w14:textId="77777777" w:rsidR="00C978FC" w:rsidRDefault="00E21D00" w:rsidP="00C978FC">
      <w:pPr>
        <w:rPr>
          <w:b/>
          <w:color w:val="24253E" w:themeColor="accent5" w:themeShade="BF"/>
        </w:rPr>
      </w:pPr>
      <w:r>
        <w:rPr>
          <w:b/>
          <w:color w:val="24253E" w:themeColor="accent5" w:themeShade="BF"/>
        </w:rPr>
        <w:t>Invitations or Tickets to Events</w:t>
      </w:r>
    </w:p>
    <w:p w14:paraId="1E407781" w14:textId="77777777" w:rsidR="00E21D00" w:rsidRDefault="00E21D00" w:rsidP="00C978FC"/>
    <w:p w14:paraId="2A35533A" w14:textId="77777777" w:rsidR="00E21D00" w:rsidRDefault="00E21D00" w:rsidP="00C978FC">
      <w:r>
        <w:t>Invitations or offers of tickets should be in writing and sent to the EMRC.</w:t>
      </w:r>
    </w:p>
    <w:p w14:paraId="5AC696DC" w14:textId="77777777" w:rsidR="00E21D00" w:rsidRDefault="00E21D00" w:rsidP="00C978FC"/>
    <w:p w14:paraId="0F965802" w14:textId="77A1A1E6" w:rsidR="00E21D00" w:rsidRDefault="00E21D00" w:rsidP="00C978FC">
      <w:r>
        <w:lastRenderedPageBreak/>
        <w:t xml:space="preserve">A ticket or invitation not sent to the EMRC is not captured by this policy, and is subject to both the </w:t>
      </w:r>
      <w:r w:rsidR="009834B1">
        <w:t>G</w:t>
      </w:r>
      <w:r>
        <w:t>ift and interest provisions of the Act.</w:t>
      </w:r>
    </w:p>
    <w:p w14:paraId="0ECCE9E5" w14:textId="77777777" w:rsidR="00C01F43" w:rsidRDefault="00C01F43" w:rsidP="00C978FC"/>
    <w:p w14:paraId="15BAEF4A" w14:textId="77777777" w:rsidR="00E21D00" w:rsidRDefault="00E21D00" w:rsidP="00C978FC">
      <w:r>
        <w:t xml:space="preserve">In accordance with regulation 20B of the </w:t>
      </w:r>
      <w:r w:rsidRPr="00E21D00">
        <w:rPr>
          <w:i/>
        </w:rPr>
        <w:t>Local Government (Administration) Regulations 1996</w:t>
      </w:r>
      <w:r>
        <w:rPr>
          <w:i/>
        </w:rPr>
        <w:t xml:space="preserve">, </w:t>
      </w:r>
      <w:r>
        <w:t xml:space="preserve">invitations or offers of tickets from the following organisations are excluded from the conflict of interest provisions, but </w:t>
      </w:r>
      <w:r w:rsidR="009834B1">
        <w:t>G</w:t>
      </w:r>
      <w:r>
        <w:t xml:space="preserve">ifts from these sources (if over $300) must still be disclosed and published on the </w:t>
      </w:r>
      <w:r w:rsidR="009834B1">
        <w:t>g</w:t>
      </w:r>
      <w:r>
        <w:t>ifts register:</w:t>
      </w:r>
    </w:p>
    <w:p w14:paraId="3F7AA3F4" w14:textId="77777777" w:rsidR="00E21D00" w:rsidRDefault="00E21D00" w:rsidP="00C978FC"/>
    <w:p w14:paraId="3655B8CA" w14:textId="284C96F7" w:rsidR="00C01F43" w:rsidRDefault="00E21D00" w:rsidP="00C01F43">
      <w:pPr>
        <w:pStyle w:val="EMRCBulletText1"/>
      </w:pPr>
      <w:r>
        <w:t>WALGA (excluding LGIS);</w:t>
      </w:r>
    </w:p>
    <w:p w14:paraId="4F1F6C7C" w14:textId="3400BC4B" w:rsidR="00E21D00" w:rsidRDefault="00E21D00" w:rsidP="00FB04BC">
      <w:pPr>
        <w:pStyle w:val="EMRCBulletText1"/>
      </w:pPr>
      <w:r>
        <w:t>Local Government Professionals Australia (WA)</w:t>
      </w:r>
      <w:r w:rsidR="006C79CC">
        <w:t xml:space="preserve"> </w:t>
      </w:r>
      <w:r w:rsidR="00B06387">
        <w:t>(</w:t>
      </w:r>
      <w:r w:rsidR="006C79CC">
        <w:t>ABN 91 208 607 072)</w:t>
      </w:r>
      <w:r>
        <w:t>;</w:t>
      </w:r>
    </w:p>
    <w:p w14:paraId="1F5C9345" w14:textId="1AF66D45" w:rsidR="00C01F43" w:rsidRDefault="00C01F43" w:rsidP="00FB04BC">
      <w:pPr>
        <w:pStyle w:val="EMRCBulletText1"/>
      </w:pPr>
      <w:r>
        <w:t>LG Professionals Australia</w:t>
      </w:r>
      <w:r w:rsidR="006C79CC">
        <w:t xml:space="preserve"> (ABN 85 004 221 818);</w:t>
      </w:r>
    </w:p>
    <w:p w14:paraId="0391C03F" w14:textId="38EEA706" w:rsidR="00E21D00" w:rsidRDefault="00E21D00" w:rsidP="00FB04BC">
      <w:pPr>
        <w:pStyle w:val="EMRCBulletText1"/>
      </w:pPr>
      <w:r>
        <w:t>Australian Local Government Association</w:t>
      </w:r>
      <w:r w:rsidR="00C01F43">
        <w:t xml:space="preserve"> Limited</w:t>
      </w:r>
      <w:r w:rsidR="006C79CC">
        <w:t xml:space="preserve"> (ABN 31 008 613 876)</w:t>
      </w:r>
      <w:r>
        <w:t>;</w:t>
      </w:r>
    </w:p>
    <w:p w14:paraId="0988D348" w14:textId="77777777" w:rsidR="00E21D00" w:rsidRDefault="00E21D00" w:rsidP="00FB04BC">
      <w:pPr>
        <w:pStyle w:val="EMRCBulletText1"/>
      </w:pPr>
      <w:r>
        <w:t>A department of the public service or statutory authority;</w:t>
      </w:r>
    </w:p>
    <w:p w14:paraId="611E32F1" w14:textId="77777777" w:rsidR="00E21D00" w:rsidRDefault="00E21D00" w:rsidP="00FB04BC">
      <w:pPr>
        <w:pStyle w:val="EMRCBulletText1"/>
      </w:pPr>
      <w:r>
        <w:t>A government department</w:t>
      </w:r>
      <w:r w:rsidR="00F371C8">
        <w:t xml:space="preserve"> of another State, a Territory or the Commonwealth; and</w:t>
      </w:r>
    </w:p>
    <w:p w14:paraId="5E9533D2" w14:textId="77777777" w:rsidR="00F371C8" w:rsidRDefault="00F371C8" w:rsidP="00FB04BC">
      <w:pPr>
        <w:pStyle w:val="EMRCBulletText1"/>
        <w:spacing w:after="240"/>
      </w:pPr>
      <w:r>
        <w:t>A local government or regional local government.</w:t>
      </w:r>
    </w:p>
    <w:p w14:paraId="1CF1EB30" w14:textId="77777777" w:rsidR="00F371C8" w:rsidRDefault="00F371C8" w:rsidP="00FB04BC">
      <w:pPr>
        <w:spacing w:after="240"/>
      </w:pPr>
      <w:r>
        <w:t xml:space="preserve">Invitations or offers of tickets in accordance with the above list will exclude the </w:t>
      </w:r>
      <w:r w:rsidR="009834B1">
        <w:t>G</w:t>
      </w:r>
      <w:r>
        <w:t xml:space="preserve">ift holder from the requirement to disclose an interest, if the donor has a matter before Council and the ticket is above $300. However, receipt of the </w:t>
      </w:r>
      <w:r w:rsidR="009834B1">
        <w:t>G</w:t>
      </w:r>
      <w:r>
        <w:t>ift will still be required to be disclosed and published on the EMRC’s gifts register in accordance with the gift provisions.</w:t>
      </w:r>
    </w:p>
    <w:p w14:paraId="07D8597F" w14:textId="77777777" w:rsidR="00F371C8" w:rsidRDefault="00F371C8" w:rsidP="00FB04BC">
      <w:pPr>
        <w:spacing w:after="240"/>
      </w:pPr>
      <w:r>
        <w:t>Any other invitation or offer of tickets not sent to the EMRC are not captured by this policy and must be disclosed.</w:t>
      </w:r>
    </w:p>
    <w:p w14:paraId="11EE1470" w14:textId="77777777" w:rsidR="00F371C8" w:rsidRDefault="00F371C8" w:rsidP="00FB04BC">
      <w:pPr>
        <w:spacing w:after="240"/>
        <w:rPr>
          <w:b/>
          <w:color w:val="24253E" w:themeColor="accent5" w:themeShade="BF"/>
        </w:rPr>
      </w:pPr>
      <w:r>
        <w:rPr>
          <w:b/>
          <w:color w:val="24253E" w:themeColor="accent5" w:themeShade="BF"/>
        </w:rPr>
        <w:t xml:space="preserve">Criteria for Events </w:t>
      </w:r>
      <w:r w:rsidR="007062FB">
        <w:rPr>
          <w:b/>
          <w:color w:val="24253E" w:themeColor="accent5" w:themeShade="BF"/>
        </w:rPr>
        <w:t>requiring Council Approval (by simple majority)</w:t>
      </w:r>
    </w:p>
    <w:p w14:paraId="7592C21C" w14:textId="77777777" w:rsidR="004F3F2F" w:rsidRDefault="008E4D0A" w:rsidP="00FB04BC">
      <w:pPr>
        <w:spacing w:after="240"/>
      </w:pPr>
      <w:r>
        <w:t xml:space="preserve">Attendance </w:t>
      </w:r>
      <w:r w:rsidR="004F3F2F">
        <w:t>by council members and/or the CEO at intrastate, interstate or international Events including conferences, seminars and study tours will be authorised in advance by Council.</w:t>
      </w:r>
    </w:p>
    <w:p w14:paraId="1A2D9992" w14:textId="77777777" w:rsidR="00730649" w:rsidRDefault="004F3F2F" w:rsidP="00FB04BC">
      <w:pPr>
        <w:spacing w:after="240"/>
      </w:pPr>
      <w:r>
        <w:t>Matters to be considered by Council in the deliberation of whether to have an EMRC council member or the CEO represent the EMRC at an Event include:</w:t>
      </w:r>
    </w:p>
    <w:p w14:paraId="62693101" w14:textId="77777777" w:rsidR="004F3F2F" w:rsidRDefault="004F3F2F" w:rsidP="00FB04BC">
      <w:pPr>
        <w:pStyle w:val="EMRCBulletText1"/>
      </w:pPr>
      <w:r>
        <w:t>Who is providing the ticket to the event;</w:t>
      </w:r>
    </w:p>
    <w:p w14:paraId="7889F1B0" w14:textId="77777777" w:rsidR="004F3F2F" w:rsidRDefault="004F3F2F" w:rsidP="00FB04BC">
      <w:pPr>
        <w:pStyle w:val="EMRCBulletText1"/>
      </w:pPr>
      <w:r>
        <w:t xml:space="preserve">The location of the event (within the Perth </w:t>
      </w:r>
      <w:r w:rsidR="00375057">
        <w:t>E</w:t>
      </w:r>
      <w:r>
        <w:t xml:space="preserve">astern </w:t>
      </w:r>
      <w:r w:rsidR="00375057">
        <w:t>R</w:t>
      </w:r>
      <w:r>
        <w:t xml:space="preserve">egion or outside the Perth </w:t>
      </w:r>
      <w:r w:rsidR="00375057">
        <w:t>E</w:t>
      </w:r>
      <w:r>
        <w:t xml:space="preserve">astern </w:t>
      </w:r>
      <w:r w:rsidR="00375057">
        <w:t>R</w:t>
      </w:r>
      <w:r>
        <w:t>egion);</w:t>
      </w:r>
    </w:p>
    <w:p w14:paraId="5F09F694" w14:textId="77777777" w:rsidR="004F3F2F" w:rsidRDefault="004F3F2F" w:rsidP="00FB04BC">
      <w:pPr>
        <w:pStyle w:val="EMRCBulletText1"/>
      </w:pPr>
      <w:r>
        <w:t>The benefit of EMRC representation at the Event, particularly the relevance to the EMRC’s corporate business plan;</w:t>
      </w:r>
    </w:p>
    <w:p w14:paraId="1C457F88" w14:textId="77777777" w:rsidR="004F3F2F" w:rsidRDefault="004F3F2F" w:rsidP="00FB04BC">
      <w:pPr>
        <w:pStyle w:val="EMRCBulletText1"/>
      </w:pPr>
      <w:r>
        <w:t>The cost to attend the Event, including the cost of the ticket and any other expense, such as travel and accommodation;</w:t>
      </w:r>
    </w:p>
    <w:p w14:paraId="313A503C" w14:textId="77777777" w:rsidR="00052548" w:rsidRDefault="00052548" w:rsidP="00FB04BC">
      <w:pPr>
        <w:pStyle w:val="EMRCBulletText1"/>
      </w:pPr>
      <w:r>
        <w:t>The budget a</w:t>
      </w:r>
      <w:r w:rsidR="009133D5">
        <w:t>llocated</w:t>
      </w:r>
      <w:r>
        <w:t xml:space="preserve"> to individual council members for attendance at Events;</w:t>
      </w:r>
    </w:p>
    <w:p w14:paraId="2524E0BF" w14:textId="77777777" w:rsidR="004F3F2F" w:rsidRDefault="004F3F2F" w:rsidP="00FB04BC">
      <w:pPr>
        <w:pStyle w:val="EMRCBulletText1"/>
      </w:pPr>
      <w:r>
        <w:t>The number of invitations/tickets received; and</w:t>
      </w:r>
    </w:p>
    <w:p w14:paraId="12CEB5CA" w14:textId="77777777" w:rsidR="004F3F2F" w:rsidRDefault="004F3F2F" w:rsidP="00FB04BC">
      <w:pPr>
        <w:pStyle w:val="EMRCBulletText1"/>
        <w:spacing w:after="240"/>
      </w:pPr>
      <w:r>
        <w:t>The number of representatives that may already be approved to attend.</w:t>
      </w:r>
    </w:p>
    <w:p w14:paraId="1F20B4EA" w14:textId="77777777" w:rsidR="004F3F2F" w:rsidRDefault="009133D5" w:rsidP="00FB04BC">
      <w:pPr>
        <w:spacing w:after="240"/>
      </w:pPr>
      <w:r>
        <w:t>A written report shall be prepared for Council’s information by each council member and the CEO who intends to travel intrastate, interstate or overseas in an official capacity. In the event that one or more council members/CEO attend the same Event, for the purposes of this policy, only one written report is required.</w:t>
      </w:r>
    </w:p>
    <w:p w14:paraId="44C94721" w14:textId="77777777" w:rsidR="007062FB" w:rsidRDefault="004F3F2F" w:rsidP="00FB04BC">
      <w:pPr>
        <w:spacing w:after="240"/>
        <w:rPr>
          <w:b/>
          <w:color w:val="24253E" w:themeColor="accent5" w:themeShade="BF"/>
        </w:rPr>
      </w:pPr>
      <w:r>
        <w:rPr>
          <w:b/>
          <w:color w:val="24253E" w:themeColor="accent5" w:themeShade="BF"/>
        </w:rPr>
        <w:t>Events that Council Members and the CEO are prohibited from attending as a representative of the EMRC</w:t>
      </w:r>
    </w:p>
    <w:p w14:paraId="78BA99D2" w14:textId="77777777" w:rsidR="004F3F2F" w:rsidRDefault="004F3F2F" w:rsidP="00FB04BC">
      <w:pPr>
        <w:spacing w:after="240"/>
      </w:pPr>
      <w:r>
        <w:t>These Events are</w:t>
      </w:r>
      <w:r w:rsidR="00924E79">
        <w:t>:</w:t>
      </w:r>
    </w:p>
    <w:p w14:paraId="29AC0F84" w14:textId="77777777" w:rsidR="004F3F2F" w:rsidRDefault="004F3F2F" w:rsidP="00FB04BC">
      <w:pPr>
        <w:pStyle w:val="EMRCBulletText1"/>
      </w:pPr>
      <w:r>
        <w:t>Political party events and fundraisers; and</w:t>
      </w:r>
    </w:p>
    <w:p w14:paraId="48DC091A" w14:textId="77777777" w:rsidR="004F3F2F" w:rsidRDefault="004F3F2F" w:rsidP="00FB04BC">
      <w:pPr>
        <w:pStyle w:val="EMRCBulletText1"/>
      </w:pPr>
      <w:r>
        <w:t>Events that primarily benefit a council member or the CEO in a personal capacity or role unrelated to the EMRC.</w:t>
      </w:r>
    </w:p>
    <w:p w14:paraId="4D873851" w14:textId="02E4F378" w:rsidR="009133D5" w:rsidRDefault="00FB04BC" w:rsidP="00B12C44">
      <w:pPr>
        <w:spacing w:after="200" w:line="276" w:lineRule="auto"/>
        <w:jc w:val="left"/>
        <w:rPr>
          <w:b/>
          <w:color w:val="24253E" w:themeColor="accent5" w:themeShade="BF"/>
        </w:rPr>
      </w:pPr>
      <w:r>
        <w:rPr>
          <w:b/>
          <w:color w:val="24253E" w:themeColor="accent5" w:themeShade="BF"/>
        </w:rPr>
        <w:br w:type="page"/>
      </w:r>
      <w:r w:rsidR="009133D5" w:rsidRPr="009133D5">
        <w:rPr>
          <w:b/>
          <w:color w:val="24253E" w:themeColor="accent5" w:themeShade="BF"/>
        </w:rPr>
        <w:lastRenderedPageBreak/>
        <w:t>Partner Attendance</w:t>
      </w:r>
    </w:p>
    <w:p w14:paraId="57885BEF" w14:textId="77777777" w:rsidR="009133D5" w:rsidRDefault="009133D5" w:rsidP="00FB04BC">
      <w:pPr>
        <w:spacing w:after="240"/>
      </w:pPr>
      <w:r w:rsidRPr="009133D5">
        <w:t xml:space="preserve">Where partners of an authorised council member or the CEO attend an </w:t>
      </w:r>
      <w:r>
        <w:t>Event, any tickets for that person, if paid for by the EMRC, must be reimbursed by the council member or CEO</w:t>
      </w:r>
      <w:r w:rsidR="00375057">
        <w:t xml:space="preserve"> respectively</w:t>
      </w:r>
      <w:r>
        <w:t xml:space="preserve"> (unless expressly authorised by the EMRC</w:t>
      </w:r>
      <w:r w:rsidR="00BF41BC">
        <w:t xml:space="preserve"> Council</w:t>
      </w:r>
      <w:r w:rsidR="00375057">
        <w:t>)</w:t>
      </w:r>
      <w:r>
        <w:t>.</w:t>
      </w:r>
    </w:p>
    <w:p w14:paraId="2B07E7FA" w14:textId="77777777" w:rsidR="00E970A8" w:rsidRDefault="00E970A8" w:rsidP="00FB04BC">
      <w:pPr>
        <w:spacing w:after="240"/>
        <w:rPr>
          <w:b/>
          <w:color w:val="24253E" w:themeColor="accent5" w:themeShade="BF"/>
        </w:rPr>
      </w:pPr>
      <w:r>
        <w:rPr>
          <w:b/>
          <w:color w:val="24253E" w:themeColor="accent5" w:themeShade="BF"/>
        </w:rPr>
        <w:t>Attendance at Events not to Unduly Interfere with the Business of Council</w:t>
      </w:r>
    </w:p>
    <w:p w14:paraId="695B2720" w14:textId="77777777" w:rsidR="00E970A8" w:rsidRDefault="00E970A8" w:rsidP="00FB04BC">
      <w:pPr>
        <w:spacing w:after="240"/>
      </w:pPr>
      <w:r>
        <w:t>Attendance at Events specified under this policy should not unduly interfere with the business of the EMRC (i.e. affects a quorum for a Council or Committee meeting).</w:t>
      </w:r>
    </w:p>
    <w:p w14:paraId="68F8F780" w14:textId="77777777" w:rsidR="00030EEE" w:rsidRPr="00030EEE" w:rsidRDefault="00030EEE" w:rsidP="00FB04BC">
      <w:pPr>
        <w:pStyle w:val="3CoverPageTitle"/>
      </w:pPr>
      <w:r>
        <w:t>Financial Considerations</w:t>
      </w:r>
    </w:p>
    <w:p w14:paraId="323BD386" w14:textId="77777777" w:rsidR="00DC36FF" w:rsidRDefault="00E970A8" w:rsidP="00FB04BC">
      <w:pPr>
        <w:spacing w:after="240"/>
      </w:pPr>
      <w:r>
        <w:t>An amount will be provided in the annual budget to meet estimated costs associated with attendance at Events by council members and the CEO.</w:t>
      </w:r>
    </w:p>
    <w:p w14:paraId="3C2E9658" w14:textId="77777777" w:rsidR="00FB04BC" w:rsidRDefault="00FB04BC" w:rsidP="00FB04BC">
      <w:pPr>
        <w:pStyle w:val="3CoverPageTitle"/>
      </w:pPr>
      <w:r>
        <w:t>Adopted/Reviewed</w:t>
      </w:r>
    </w:p>
    <w:p w14:paraId="173E03DA" w14:textId="78D0B6C2" w:rsidR="007A382E" w:rsidRDefault="007A382E" w:rsidP="00BD4BE4">
      <w:r>
        <w:t>25 March 2021</w:t>
      </w:r>
    </w:p>
    <w:p w14:paraId="7A0031E0" w14:textId="69218544" w:rsidR="007A382E" w:rsidRDefault="00A81A08" w:rsidP="00FB04BC">
      <w:pPr>
        <w:spacing w:after="240"/>
      </w:pPr>
      <w:r>
        <w:t>22 February 2024</w:t>
      </w:r>
    </w:p>
    <w:p w14:paraId="5F0CB018" w14:textId="77777777" w:rsidR="00FB04BC" w:rsidRDefault="00FB04BC" w:rsidP="00FB04BC">
      <w:pPr>
        <w:pStyle w:val="3CoverPageTitle"/>
      </w:pPr>
      <w:r>
        <w:t>Next Review</w:t>
      </w:r>
    </w:p>
    <w:p w14:paraId="04CC816F" w14:textId="10A4E5FA" w:rsidR="00FB04BC" w:rsidRDefault="00FB04BC" w:rsidP="00FB04BC">
      <w:pPr>
        <w:spacing w:after="240"/>
      </w:pPr>
      <w:r>
        <w:t>Following the Ordinary Elections 202</w:t>
      </w:r>
      <w:r w:rsidR="00187C88">
        <w:t>5</w:t>
      </w:r>
      <w:bookmarkStart w:id="0" w:name="_GoBack"/>
      <w:bookmarkEnd w:id="0"/>
    </w:p>
    <w:p w14:paraId="348E2457" w14:textId="77777777" w:rsidR="00FB04BC" w:rsidRDefault="00FB04BC" w:rsidP="00FB04BC">
      <w:pPr>
        <w:pStyle w:val="3CoverPageTitle"/>
      </w:pPr>
      <w:r>
        <w:t>Responsible Unit</w:t>
      </w:r>
    </w:p>
    <w:p w14:paraId="4C14ED1B" w14:textId="77777777" w:rsidR="00F94EDC" w:rsidRDefault="00FB04BC" w:rsidP="00FB04BC">
      <w:pPr>
        <w:spacing w:after="240"/>
      </w:pPr>
      <w:r>
        <w:t>Chief Executive Officer’s Office</w:t>
      </w:r>
    </w:p>
    <w:p w14:paraId="59D8F3EE" w14:textId="77777777" w:rsidR="00FB04BC" w:rsidRPr="00F94EDC" w:rsidRDefault="00FB04BC" w:rsidP="00FB04BC">
      <w:pPr>
        <w:spacing w:after="240"/>
        <w:rPr>
          <w:b/>
          <w:color w:val="6B6C6D" w:themeColor="accent3"/>
        </w:rPr>
      </w:pPr>
    </w:p>
    <w:sectPr w:rsidR="00FB04BC" w:rsidRPr="00F94EDC" w:rsidSect="00F94EDC">
      <w:headerReference w:type="default" r:id="rId10"/>
      <w:footerReference w:type="default" r:id="rId11"/>
      <w:headerReference w:type="first" r:id="rId12"/>
      <w:footerReference w:type="first" r:id="rId13"/>
      <w:pgSz w:w="11906" w:h="16838" w:code="9"/>
      <w:pgMar w:top="2268" w:right="851" w:bottom="1134" w:left="1332"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FD085" w14:textId="77777777" w:rsidR="008B79BD" w:rsidRDefault="008B79BD" w:rsidP="00615BBA">
      <w:r>
        <w:separator/>
      </w:r>
    </w:p>
  </w:endnote>
  <w:endnote w:type="continuationSeparator" w:id="0">
    <w:p w14:paraId="2395C3F4" w14:textId="77777777" w:rsidR="008B79BD" w:rsidRDefault="008B79BD"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3343" w14:textId="77777777" w:rsidR="003878C6" w:rsidRPr="003878C6" w:rsidRDefault="003878C6" w:rsidP="00F94EDC">
    <w:pPr>
      <w:pStyle w:val="Footer"/>
      <w:pBdr>
        <w:top w:val="none" w:sz="0" w:space="0" w:color="auto"/>
      </w:pBdr>
    </w:pPr>
    <w:r w:rsidRPr="003878C6">
      <w:fldChar w:fldCharType="begin"/>
    </w:r>
    <w:r w:rsidRPr="003878C6">
      <w:instrText xml:space="preserve"> PAGE   \* MERGEFORMAT </w:instrText>
    </w:r>
    <w:r w:rsidRPr="003878C6">
      <w:fldChar w:fldCharType="separate"/>
    </w:r>
    <w:r w:rsidRPr="003878C6">
      <w:t>1</w:t>
    </w:r>
    <w:r w:rsidRPr="003878C6">
      <w:fldChar w:fldCharType="end"/>
    </w:r>
    <w:r w:rsidRPr="003878C6">
      <w:t xml:space="preserve"> |</w:t>
    </w:r>
    <w:r>
      <w:t xml:space="preserve"> </w:t>
    </w:r>
    <w:r w:rsidRPr="003878C6">
      <w:rPr>
        <w:spacing w:val="60"/>
      </w:rPr>
      <w:t>Pag</w:t>
    </w:r>
    <w:r>
      <w: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99AE5" w14:textId="77777777" w:rsidR="00F94EDC" w:rsidRDefault="00F42781" w:rsidP="00F42781">
    <w:pPr>
      <w:pStyle w:val="Footer"/>
      <w:pBdr>
        <w:top w:val="none" w:sz="0" w:space="0" w:color="auto"/>
      </w:pBdr>
      <w:jc w:val="both"/>
    </w:pPr>
    <w:r>
      <w:t>D2021/21045</w:t>
    </w:r>
    <w:r>
      <w:tab/>
    </w:r>
    <w:r>
      <w:tab/>
    </w:r>
    <w:r w:rsidR="00F94EDC" w:rsidRPr="003878C6">
      <w:fldChar w:fldCharType="begin"/>
    </w:r>
    <w:r w:rsidR="00F94EDC" w:rsidRPr="003878C6">
      <w:instrText xml:space="preserve"> PAGE   \* MERGEFORMAT </w:instrText>
    </w:r>
    <w:r w:rsidR="00F94EDC" w:rsidRPr="003878C6">
      <w:fldChar w:fldCharType="separate"/>
    </w:r>
    <w:r w:rsidR="00F94EDC">
      <w:t>2</w:t>
    </w:r>
    <w:r w:rsidR="00F94EDC" w:rsidRPr="003878C6">
      <w:fldChar w:fldCharType="end"/>
    </w:r>
    <w:r w:rsidR="00F94EDC" w:rsidRPr="003878C6">
      <w:t xml:space="preserve"> |</w:t>
    </w:r>
    <w:r w:rsidR="00F94EDC">
      <w:t xml:space="preserve"> </w:t>
    </w:r>
    <w:r w:rsidR="00F94EDC" w:rsidRPr="003878C6">
      <w:rPr>
        <w:spacing w:val="60"/>
      </w:rPr>
      <w:t>Pag</w:t>
    </w:r>
    <w:r w:rsidR="00F94EDC">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9E4D9" w14:textId="77777777" w:rsidR="008B79BD" w:rsidRDefault="008B79BD" w:rsidP="00615BBA">
      <w:r>
        <w:separator/>
      </w:r>
    </w:p>
  </w:footnote>
  <w:footnote w:type="continuationSeparator" w:id="0">
    <w:p w14:paraId="4CDE7032" w14:textId="77777777" w:rsidR="008B79BD" w:rsidRDefault="008B79BD"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76B4" w14:textId="77777777" w:rsidR="00D154F5" w:rsidRDefault="0035159F" w:rsidP="00BC779E">
    <w:pPr>
      <w:pStyle w:val="Header"/>
    </w:pPr>
    <w:r>
      <w:tab/>
    </w:r>
    <w:r>
      <w:tab/>
    </w:r>
    <w:r w:rsidR="003878C6">
      <w:rPr>
        <w:noProof/>
      </w:rPr>
      <w:drawing>
        <wp:anchor distT="0" distB="0" distL="114300" distR="114300" simplePos="0" relativeHeight="251662848" behindDoc="1" locked="0" layoutInCell="1" allowOverlap="1" wp14:anchorId="38EA1844" wp14:editId="07B1C77E">
          <wp:simplePos x="0" y="0"/>
          <wp:positionH relativeFrom="page">
            <wp:align>right</wp:align>
          </wp:positionH>
          <wp:positionV relativeFrom="page">
            <wp:align>top</wp:align>
          </wp:positionV>
          <wp:extent cx="7560000" cy="10682609"/>
          <wp:effectExtent l="0" t="0" r="3175" b="4445"/>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8275-EMRC Letterhead Template-3.png"/>
                  <pic:cNvPicPr/>
                </pic:nvPicPr>
                <pic:blipFill>
                  <a:blip r:embed="rId1"/>
                  <a:stretch>
                    <a:fillRect/>
                  </a:stretch>
                </pic:blipFill>
                <pic:spPr>
                  <a:xfrm>
                    <a:off x="0" y="0"/>
                    <a:ext cx="7560000" cy="106826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B9B6" w14:textId="77777777" w:rsidR="00A208A0" w:rsidRPr="00817396" w:rsidRDefault="0037627F" w:rsidP="00FB04BC">
    <w:r>
      <w:rPr>
        <w:noProof/>
      </w:rPr>
      <w:drawing>
        <wp:anchor distT="0" distB="0" distL="114300" distR="114300" simplePos="0" relativeHeight="251664896" behindDoc="1" locked="0" layoutInCell="1" allowOverlap="1" wp14:anchorId="4A3ED7A2" wp14:editId="67E337CB">
          <wp:simplePos x="0" y="0"/>
          <wp:positionH relativeFrom="page">
            <wp:posOffset>-23701</wp:posOffset>
          </wp:positionH>
          <wp:positionV relativeFrom="page">
            <wp:posOffset>-11251</wp:posOffset>
          </wp:positionV>
          <wp:extent cx="2114550"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
                  <a:srcRect r="72029"/>
                  <a:stretch/>
                </pic:blipFill>
                <pic:spPr bwMode="auto">
                  <a:xfrm>
                    <a:off x="0" y="0"/>
                    <a:ext cx="2114550"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A251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0C2E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222A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9227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6E4E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2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A5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B40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584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E0CA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60D37"/>
    <w:multiLevelType w:val="multilevel"/>
    <w:tmpl w:val="5D32C4A4"/>
    <w:numStyleLink w:val="Bullets"/>
  </w:abstractNum>
  <w:abstractNum w:abstractNumId="11" w15:restartNumberingAfterBreak="0">
    <w:nsid w:val="0F5609B5"/>
    <w:multiLevelType w:val="hybridMultilevel"/>
    <w:tmpl w:val="2EC0FB3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473018"/>
    <w:multiLevelType w:val="multilevel"/>
    <w:tmpl w:val="5D32C4A4"/>
    <w:numStyleLink w:val="Bullets"/>
  </w:abstractNum>
  <w:abstractNum w:abstractNumId="13" w15:restartNumberingAfterBreak="0">
    <w:nsid w:val="1C192370"/>
    <w:multiLevelType w:val="multilevel"/>
    <w:tmpl w:val="5D32C4A4"/>
    <w:numStyleLink w:val="Bullets"/>
  </w:abstractNum>
  <w:abstractNum w:abstractNumId="14" w15:restartNumberingAfterBreak="0">
    <w:nsid w:val="2B6E4326"/>
    <w:multiLevelType w:val="hybridMultilevel"/>
    <w:tmpl w:val="9ED4B7D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D4514"/>
    <w:multiLevelType w:val="multilevel"/>
    <w:tmpl w:val="270C7736"/>
    <w:numStyleLink w:val="HeadingNumbers"/>
  </w:abstractNum>
  <w:abstractNum w:abstractNumId="16" w15:restartNumberingAfterBreak="0">
    <w:nsid w:val="33B150F6"/>
    <w:multiLevelType w:val="hybridMultilevel"/>
    <w:tmpl w:val="4860074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B95AA9"/>
    <w:multiLevelType w:val="multilevel"/>
    <w:tmpl w:val="5D32C4A4"/>
    <w:numStyleLink w:val="Bullets"/>
  </w:abstractNum>
  <w:abstractNum w:abstractNumId="18" w15:restartNumberingAfterBreak="0">
    <w:nsid w:val="38211739"/>
    <w:multiLevelType w:val="hybridMultilevel"/>
    <w:tmpl w:val="25CE9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DB6C6D"/>
    <w:multiLevelType w:val="multilevel"/>
    <w:tmpl w:val="A3742738"/>
    <w:styleLink w:val="Indent1Bullets"/>
    <w:lvl w:ilvl="0">
      <w:start w:val="1"/>
      <w:numFmt w:val="bullet"/>
      <w:pStyle w:val="Indent1Bullet1"/>
      <w:lvlText w:val=""/>
      <w:lvlJc w:val="left"/>
      <w:pPr>
        <w:ind w:left="936" w:hanging="369"/>
      </w:pPr>
      <w:rPr>
        <w:rFonts w:ascii="Wingdings" w:hAnsi="Wingdings" w:hint="default"/>
        <w:color w:val="313253" w:themeColor="accent5"/>
      </w:rPr>
    </w:lvl>
    <w:lvl w:ilvl="1">
      <w:start w:val="1"/>
      <w:numFmt w:val="bullet"/>
      <w:pStyle w:val="Indent1Bullet2"/>
      <w:lvlText w:val=""/>
      <w:lvlJc w:val="left"/>
      <w:pPr>
        <w:ind w:left="1304" w:hanging="368"/>
      </w:pPr>
      <w:rPr>
        <w:rFonts w:ascii="Wingdings" w:hAnsi="Wingdings" w:hint="default"/>
        <w:color w:val="C1A408" w:themeColor="accent4"/>
      </w:rPr>
    </w:lvl>
    <w:lvl w:ilvl="2">
      <w:start w:val="1"/>
      <w:numFmt w:val="bullet"/>
      <w:pStyle w:val="Indent1Bullet3"/>
      <w:lvlText w:val=""/>
      <w:lvlJc w:val="left"/>
      <w:pPr>
        <w:ind w:left="1673" w:hanging="369"/>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027265A"/>
    <w:multiLevelType w:val="multilevel"/>
    <w:tmpl w:val="5D32C4A4"/>
    <w:styleLink w:val="Bullets"/>
    <w:lvl w:ilvl="0">
      <w:start w:val="1"/>
      <w:numFmt w:val="bullet"/>
      <w:pStyle w:val="EMRCBulletText1"/>
      <w:lvlText w:val=""/>
      <w:lvlJc w:val="left"/>
      <w:pPr>
        <w:ind w:left="369" w:hanging="369"/>
      </w:pPr>
      <w:rPr>
        <w:rFonts w:ascii="Wingdings" w:hAnsi="Wingdings" w:hint="default"/>
        <w:color w:val="313253" w:themeColor="accent5"/>
      </w:rPr>
    </w:lvl>
    <w:lvl w:ilvl="1">
      <w:start w:val="1"/>
      <w:numFmt w:val="bullet"/>
      <w:pStyle w:val="EMRCBulletText2"/>
      <w:lvlText w:val=""/>
      <w:lvlJc w:val="left"/>
      <w:pPr>
        <w:ind w:left="737" w:hanging="368"/>
      </w:pPr>
      <w:rPr>
        <w:rFonts w:ascii="Wingdings" w:hAnsi="Wingdings" w:hint="default"/>
        <w:color w:val="C1A408" w:themeColor="accent4"/>
      </w:rPr>
    </w:lvl>
    <w:lvl w:ilvl="2">
      <w:start w:val="1"/>
      <w:numFmt w:val="bullet"/>
      <w:pStyle w:val="EMRCBulletText3"/>
      <w:lvlText w:val=""/>
      <w:lvlJc w:val="left"/>
      <w:pPr>
        <w:ind w:left="1106" w:hanging="369"/>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125776"/>
    <w:multiLevelType w:val="multilevel"/>
    <w:tmpl w:val="5D32C4A4"/>
    <w:numStyleLink w:val="Bullets"/>
  </w:abstractNum>
  <w:abstractNum w:abstractNumId="22" w15:restartNumberingAfterBreak="0">
    <w:nsid w:val="6FA558B0"/>
    <w:multiLevelType w:val="multilevel"/>
    <w:tmpl w:val="270C7736"/>
    <w:numStyleLink w:val="HeadingNumbers"/>
  </w:abstractNum>
  <w:abstractNum w:abstractNumId="23" w15:restartNumberingAfterBreak="0">
    <w:nsid w:val="728D5E8F"/>
    <w:multiLevelType w:val="multilevel"/>
    <w:tmpl w:val="F5F8B19C"/>
    <w:lvl w:ilvl="0">
      <w:start w:val="1"/>
      <w:numFmt w:val="bullet"/>
      <w:lvlText w:val=""/>
      <w:lvlJc w:val="left"/>
      <w:pPr>
        <w:ind w:left="936" w:hanging="369"/>
      </w:pPr>
      <w:rPr>
        <w:rFonts w:ascii="Wingdings" w:hAnsi="Wingdings" w:hint="default"/>
        <w:color w:val="313253" w:themeColor="accent5"/>
      </w:rPr>
    </w:lvl>
    <w:lvl w:ilvl="1">
      <w:start w:val="1"/>
      <w:numFmt w:val="bullet"/>
      <w:lvlText w:val=""/>
      <w:lvlJc w:val="left"/>
      <w:pPr>
        <w:ind w:left="1304" w:hanging="368"/>
      </w:pPr>
      <w:rPr>
        <w:rFonts w:ascii="Wingdings" w:hAnsi="Wingdings" w:hint="default"/>
        <w:color w:val="C1A408" w:themeColor="accent4"/>
      </w:rPr>
    </w:lvl>
    <w:lvl w:ilvl="2">
      <w:start w:val="1"/>
      <w:numFmt w:val="bullet"/>
      <w:lvlText w:val=""/>
      <w:lvlJc w:val="left"/>
      <w:pPr>
        <w:ind w:left="1673" w:hanging="369"/>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4EE1209"/>
    <w:multiLevelType w:val="multilevel"/>
    <w:tmpl w:val="270C7736"/>
    <w:styleLink w:val="HeadingNumber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1418"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7CDE15DD"/>
    <w:multiLevelType w:val="multilevel"/>
    <w:tmpl w:val="270C7736"/>
    <w:numStyleLink w:val="HeadingNumbers"/>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0"/>
  </w:num>
  <w:num w:numId="5">
    <w:abstractNumId w:val="17"/>
  </w:num>
  <w:num w:numId="6">
    <w:abstractNumId w:val="21"/>
  </w:num>
  <w:num w:numId="7">
    <w:abstractNumId w:val="12"/>
  </w:num>
  <w:num w:numId="8">
    <w:abstractNumId w:val="13"/>
  </w:num>
  <w:num w:numId="9">
    <w:abstractNumId w:val="25"/>
  </w:num>
  <w:num w:numId="10">
    <w:abstractNumId w:val="25"/>
  </w:num>
  <w:num w:numId="11">
    <w:abstractNumId w:val="22"/>
  </w:num>
  <w:num w:numId="12">
    <w:abstractNumId w:val="20"/>
  </w:num>
  <w:num w:numId="13">
    <w:abstractNumId w:val="20"/>
  </w:num>
  <w:num w:numId="14">
    <w:abstractNumId w:val="20"/>
  </w:num>
  <w:num w:numId="15">
    <w:abstractNumId w:val="22"/>
  </w:num>
  <w:num w:numId="16">
    <w:abstractNumId w:val="22"/>
  </w:num>
  <w:num w:numId="17">
    <w:abstractNumId w:val="2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0"/>
  </w:num>
  <w:num w:numId="29">
    <w:abstractNumId w:val="10"/>
  </w:num>
  <w:num w:numId="30">
    <w:abstractNumId w:val="10"/>
  </w:num>
  <w:num w:numId="31">
    <w:abstractNumId w:val="23"/>
  </w:num>
  <w:num w:numId="32">
    <w:abstractNumId w:val="23"/>
  </w:num>
  <w:num w:numId="33">
    <w:abstractNumId w:val="23"/>
  </w:num>
  <w:num w:numId="34">
    <w:abstractNumId w:val="10"/>
  </w:num>
  <w:num w:numId="35">
    <w:abstractNumId w:val="10"/>
  </w:num>
  <w:num w:numId="36">
    <w:abstractNumId w:val="10"/>
  </w:num>
  <w:num w:numId="37">
    <w:abstractNumId w:val="20"/>
    <w:lvlOverride w:ilvl="0">
      <w:lvl w:ilvl="0">
        <w:start w:val="1"/>
        <w:numFmt w:val="bullet"/>
        <w:pStyle w:val="EMRCBulletText1"/>
        <w:lvlText w:val=""/>
        <w:lvlJc w:val="left"/>
        <w:pPr>
          <w:ind w:left="369" w:hanging="369"/>
        </w:pPr>
        <w:rPr>
          <w:rFonts w:ascii="Wingdings" w:hAnsi="Wingdings" w:hint="default"/>
          <w:color w:val="313253" w:themeColor="accent5"/>
        </w:rPr>
      </w:lvl>
    </w:lvlOverride>
  </w:num>
  <w:num w:numId="38">
    <w:abstractNumId w:val="23"/>
  </w:num>
  <w:num w:numId="39">
    <w:abstractNumId w:val="23"/>
  </w:num>
  <w:num w:numId="40">
    <w:abstractNumId w:val="23"/>
  </w:num>
  <w:num w:numId="41">
    <w:abstractNumId w:val="19"/>
  </w:num>
  <w:num w:numId="42">
    <w:abstractNumId w:val="18"/>
  </w:num>
  <w:num w:numId="43">
    <w:abstractNumId w:val="16"/>
  </w:num>
  <w:num w:numId="44">
    <w:abstractNumId w:val="14"/>
  </w:num>
  <w:num w:numId="45">
    <w:abstractNumId w:val="11"/>
  </w:num>
  <w:num w:numId="46">
    <w:abstractNumId w:val="20"/>
    <w:lvlOverride w:ilvl="0">
      <w:lvl w:ilvl="0">
        <w:start w:val="1"/>
        <w:numFmt w:val="bullet"/>
        <w:pStyle w:val="EMRCBulletText1"/>
        <w:lvlText w:val=""/>
        <w:lvlJc w:val="left"/>
        <w:pPr>
          <w:ind w:left="369" w:hanging="369"/>
        </w:pPr>
        <w:rPr>
          <w:rFonts w:ascii="Wingdings" w:hAnsi="Wingdings" w:hint="default"/>
          <w:color w:val="313253" w:themeColor="accent5"/>
        </w:rPr>
      </w:lvl>
    </w:lvlOverride>
  </w:num>
  <w:num w:numId="47">
    <w:abstractNumId w:val="20"/>
    <w:lvlOverride w:ilvl="0">
      <w:lvl w:ilvl="0">
        <w:start w:val="1"/>
        <w:numFmt w:val="bullet"/>
        <w:pStyle w:val="EMRCBulletText1"/>
        <w:lvlText w:val=""/>
        <w:lvlJc w:val="left"/>
        <w:pPr>
          <w:ind w:left="369" w:hanging="369"/>
        </w:pPr>
        <w:rPr>
          <w:rFonts w:ascii="Wingdings" w:hAnsi="Wingdings" w:hint="default"/>
          <w:color w:val="313253" w:themeColor="accent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26"/>
    <w:rsid w:val="0000672B"/>
    <w:rsid w:val="00011D81"/>
    <w:rsid w:val="000230DC"/>
    <w:rsid w:val="00030EEE"/>
    <w:rsid w:val="00052548"/>
    <w:rsid w:val="00083283"/>
    <w:rsid w:val="000A150D"/>
    <w:rsid w:val="000D3355"/>
    <w:rsid w:val="0017381F"/>
    <w:rsid w:val="00180EDE"/>
    <w:rsid w:val="00184472"/>
    <w:rsid w:val="00187C88"/>
    <w:rsid w:val="001919DE"/>
    <w:rsid w:val="001B2A05"/>
    <w:rsid w:val="001E487F"/>
    <w:rsid w:val="001F0FA8"/>
    <w:rsid w:val="002614A1"/>
    <w:rsid w:val="00261511"/>
    <w:rsid w:val="002A0EF1"/>
    <w:rsid w:val="002A5B1F"/>
    <w:rsid w:val="002D5B67"/>
    <w:rsid w:val="00347A2D"/>
    <w:rsid w:val="0035159F"/>
    <w:rsid w:val="00355BC7"/>
    <w:rsid w:val="00375057"/>
    <w:rsid w:val="0037627F"/>
    <w:rsid w:val="003878C6"/>
    <w:rsid w:val="003D64F5"/>
    <w:rsid w:val="003E6897"/>
    <w:rsid w:val="00403089"/>
    <w:rsid w:val="00420DEE"/>
    <w:rsid w:val="00422F86"/>
    <w:rsid w:val="004458E3"/>
    <w:rsid w:val="004750C8"/>
    <w:rsid w:val="004A13DF"/>
    <w:rsid w:val="004C0454"/>
    <w:rsid w:val="004F3F2F"/>
    <w:rsid w:val="004F63BF"/>
    <w:rsid w:val="00517B15"/>
    <w:rsid w:val="00585140"/>
    <w:rsid w:val="005C47A3"/>
    <w:rsid w:val="005D2132"/>
    <w:rsid w:val="00615BBA"/>
    <w:rsid w:val="00620F89"/>
    <w:rsid w:val="00654504"/>
    <w:rsid w:val="006670EB"/>
    <w:rsid w:val="006A32E9"/>
    <w:rsid w:val="006C1637"/>
    <w:rsid w:val="006C79CC"/>
    <w:rsid w:val="007062FB"/>
    <w:rsid w:val="00730649"/>
    <w:rsid w:val="007A382E"/>
    <w:rsid w:val="007B6004"/>
    <w:rsid w:val="007C620E"/>
    <w:rsid w:val="007C63C9"/>
    <w:rsid w:val="007E667C"/>
    <w:rsid w:val="007E6F1E"/>
    <w:rsid w:val="008128D9"/>
    <w:rsid w:val="00817396"/>
    <w:rsid w:val="00817A68"/>
    <w:rsid w:val="00870727"/>
    <w:rsid w:val="00897B64"/>
    <w:rsid w:val="008A3706"/>
    <w:rsid w:val="008B4DC4"/>
    <w:rsid w:val="008B79BD"/>
    <w:rsid w:val="008B7CD6"/>
    <w:rsid w:val="008E4D0A"/>
    <w:rsid w:val="009133D5"/>
    <w:rsid w:val="00924E79"/>
    <w:rsid w:val="00935655"/>
    <w:rsid w:val="00961CBC"/>
    <w:rsid w:val="009834B1"/>
    <w:rsid w:val="00997B10"/>
    <w:rsid w:val="009A404E"/>
    <w:rsid w:val="009B6858"/>
    <w:rsid w:val="00A16305"/>
    <w:rsid w:val="00A16568"/>
    <w:rsid w:val="00A208A0"/>
    <w:rsid w:val="00A52E08"/>
    <w:rsid w:val="00A76826"/>
    <w:rsid w:val="00A81A08"/>
    <w:rsid w:val="00AA0ED3"/>
    <w:rsid w:val="00AC005F"/>
    <w:rsid w:val="00AC204D"/>
    <w:rsid w:val="00AE7D4D"/>
    <w:rsid w:val="00B06387"/>
    <w:rsid w:val="00B12C44"/>
    <w:rsid w:val="00B536C9"/>
    <w:rsid w:val="00B567B6"/>
    <w:rsid w:val="00BB0C1B"/>
    <w:rsid w:val="00BC779E"/>
    <w:rsid w:val="00BD4BE4"/>
    <w:rsid w:val="00BF41BC"/>
    <w:rsid w:val="00C01F43"/>
    <w:rsid w:val="00C30DE8"/>
    <w:rsid w:val="00C978FC"/>
    <w:rsid w:val="00CB0E7C"/>
    <w:rsid w:val="00CD4612"/>
    <w:rsid w:val="00CE0CCB"/>
    <w:rsid w:val="00D00A90"/>
    <w:rsid w:val="00D07AE1"/>
    <w:rsid w:val="00D154F5"/>
    <w:rsid w:val="00D31047"/>
    <w:rsid w:val="00D767E5"/>
    <w:rsid w:val="00D827EA"/>
    <w:rsid w:val="00DC36FF"/>
    <w:rsid w:val="00DD1587"/>
    <w:rsid w:val="00E0164A"/>
    <w:rsid w:val="00E16C4E"/>
    <w:rsid w:val="00E21D00"/>
    <w:rsid w:val="00E3426A"/>
    <w:rsid w:val="00E970A8"/>
    <w:rsid w:val="00EA0B29"/>
    <w:rsid w:val="00EA4C04"/>
    <w:rsid w:val="00EA4D54"/>
    <w:rsid w:val="00EC2F45"/>
    <w:rsid w:val="00ED1DED"/>
    <w:rsid w:val="00EE3102"/>
    <w:rsid w:val="00F30506"/>
    <w:rsid w:val="00F371C8"/>
    <w:rsid w:val="00F42781"/>
    <w:rsid w:val="00F63C98"/>
    <w:rsid w:val="00F6749A"/>
    <w:rsid w:val="00F67B9B"/>
    <w:rsid w:val="00F929E7"/>
    <w:rsid w:val="00F94EDC"/>
    <w:rsid w:val="00FB04BC"/>
    <w:rsid w:val="00FB6AE3"/>
    <w:rsid w:val="00FF2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119588"/>
  <w15:chartTrackingRefBased/>
  <w15:docId w15:val="{79D16AF5-6DDA-45E8-8F6E-DF3852E1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68"/>
    <w:pPr>
      <w:spacing w:after="0" w:line="240" w:lineRule="auto"/>
      <w:jc w:val="both"/>
    </w:pPr>
  </w:style>
  <w:style w:type="paragraph" w:styleId="Heading1">
    <w:name w:val="heading 1"/>
    <w:next w:val="Normal"/>
    <w:link w:val="Heading1Char"/>
    <w:qFormat/>
    <w:rsid w:val="00420DEE"/>
    <w:pPr>
      <w:keepNext/>
      <w:keepLines/>
      <w:numPr>
        <w:numId w:val="17"/>
      </w:numPr>
      <w:spacing w:before="240" w:after="180" w:line="240" w:lineRule="auto"/>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Normal"/>
    <w:link w:val="Heading2Char"/>
    <w:uiPriority w:val="1"/>
    <w:unhideWhenUsed/>
    <w:qFormat/>
    <w:rsid w:val="00420DEE"/>
    <w:pPr>
      <w:numPr>
        <w:ilvl w:val="1"/>
      </w:numPr>
      <w:outlineLvl w:val="1"/>
    </w:pPr>
    <w:rPr>
      <w:color w:val="C1A408" w:themeColor="accent4"/>
      <w:szCs w:val="26"/>
    </w:rPr>
  </w:style>
  <w:style w:type="paragraph" w:styleId="Heading3">
    <w:name w:val="heading 3"/>
    <w:basedOn w:val="Heading2"/>
    <w:next w:val="Normal"/>
    <w:link w:val="Heading3Char"/>
    <w:uiPriority w:val="9"/>
    <w:unhideWhenUsed/>
    <w:qFormat/>
    <w:rsid w:val="00420DEE"/>
    <w:pPr>
      <w:numPr>
        <w:ilvl w:val="2"/>
      </w:numPr>
      <w:outlineLvl w:val="2"/>
    </w:pPr>
    <w:rPr>
      <w:color w:val="6B6C6D" w:themeColor="accent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EDE"/>
    <w:pPr>
      <w:tabs>
        <w:tab w:val="center" w:pos="4820"/>
        <w:tab w:val="right" w:pos="9673"/>
      </w:tabs>
      <w:spacing w:after="240"/>
    </w:pPr>
  </w:style>
  <w:style w:type="character" w:customStyle="1" w:styleId="HeaderChar">
    <w:name w:val="Header Char"/>
    <w:basedOn w:val="DefaultParagraphFont"/>
    <w:link w:val="Header"/>
    <w:uiPriority w:val="99"/>
    <w:rsid w:val="00180EDE"/>
  </w:style>
  <w:style w:type="paragraph" w:styleId="Footer">
    <w:name w:val="footer"/>
    <w:basedOn w:val="Normal"/>
    <w:link w:val="FooterChar"/>
    <w:uiPriority w:val="99"/>
    <w:unhideWhenUsed/>
    <w:rsid w:val="00180EDE"/>
    <w:pPr>
      <w:pBdr>
        <w:top w:val="single" w:sz="4" w:space="1" w:color="313253" w:themeColor="accent5"/>
      </w:pBdr>
      <w:tabs>
        <w:tab w:val="center" w:pos="4820"/>
        <w:tab w:val="right" w:pos="9715"/>
      </w:tabs>
      <w:spacing w:after="240"/>
      <w:jc w:val="right"/>
    </w:pPr>
    <w:rPr>
      <w:color w:val="313253" w:themeColor="accent5"/>
      <w:sz w:val="16"/>
    </w:rPr>
  </w:style>
  <w:style w:type="character" w:customStyle="1" w:styleId="FooterChar">
    <w:name w:val="Footer Char"/>
    <w:basedOn w:val="DefaultParagraphFont"/>
    <w:link w:val="Footer"/>
    <w:uiPriority w:val="99"/>
    <w:rsid w:val="00180EDE"/>
    <w:rPr>
      <w:color w:val="313253" w:themeColor="accent5"/>
      <w:sz w:val="16"/>
    </w:rPr>
  </w:style>
  <w:style w:type="character" w:styleId="Hyperlink">
    <w:name w:val="Hyperlink"/>
    <w:basedOn w:val="DefaultParagraphFont"/>
    <w:uiPriority w:val="99"/>
    <w:unhideWhenUsed/>
    <w:rsid w:val="00D767E5"/>
    <w:rPr>
      <w:color w:val="6B6C6D" w:themeColor="hyperlink"/>
      <w:u w:val="single"/>
    </w:rPr>
  </w:style>
  <w:style w:type="table" w:styleId="TableGrid">
    <w:name w:val="Table Grid"/>
    <w:basedOn w:val="TableNormal"/>
    <w:uiPriority w:val="59"/>
    <w:rsid w:val="00AC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rReference">
    <w:name w:val="OurReference"/>
    <w:basedOn w:val="Normal"/>
    <w:qFormat/>
    <w:rsid w:val="009B6858"/>
    <w:pPr>
      <w:tabs>
        <w:tab w:val="left" w:pos="7797"/>
      </w:tabs>
      <w:ind w:left="6917"/>
    </w:pPr>
    <w:rPr>
      <w:color w:val="313253" w:themeColor="accent5"/>
      <w:sz w:val="18"/>
      <w:szCs w:val="18"/>
    </w:rPr>
  </w:style>
  <w:style w:type="paragraph" w:customStyle="1" w:styleId="SignBlockEMRC">
    <w:name w:val="_Sign Block EMRC"/>
    <w:basedOn w:val="Normal"/>
    <w:next w:val="Normal"/>
    <w:qFormat/>
    <w:rsid w:val="00A16568"/>
    <w:rPr>
      <w:b/>
      <w:bCs/>
      <w:color w:val="313253" w:themeColor="accent5"/>
    </w:rPr>
  </w:style>
  <w:style w:type="paragraph" w:customStyle="1" w:styleId="SignBlockWriterTitle">
    <w:name w:val="_Sign Block Writer Title"/>
    <w:basedOn w:val="Normal"/>
    <w:next w:val="Normal"/>
    <w:qFormat/>
    <w:rsid w:val="009B6858"/>
    <w:rPr>
      <w:color w:val="6B6C6D" w:themeColor="accent3"/>
    </w:rPr>
  </w:style>
  <w:style w:type="paragraph" w:customStyle="1" w:styleId="Subject">
    <w:name w:val="_Subject"/>
    <w:basedOn w:val="Normal"/>
    <w:next w:val="Normal"/>
    <w:qFormat/>
    <w:rsid w:val="009A404E"/>
    <w:rPr>
      <w:rFonts w:ascii="Arial Narrow" w:hAnsi="Arial Narrow"/>
      <w:b/>
    </w:rPr>
  </w:style>
  <w:style w:type="character" w:customStyle="1" w:styleId="Heading1Char">
    <w:name w:val="Heading 1 Char"/>
    <w:basedOn w:val="DefaultParagraphFont"/>
    <w:link w:val="Heading1"/>
    <w:rsid w:val="00420DEE"/>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1"/>
    <w:rsid w:val="00420DEE"/>
    <w:rPr>
      <w:rFonts w:asciiTheme="majorHAnsi" w:eastAsiaTheme="majorEastAsia" w:hAnsiTheme="majorHAnsi" w:cstheme="majorBidi"/>
      <w:b/>
      <w:color w:val="C1A408" w:themeColor="accent4"/>
      <w:sz w:val="24"/>
      <w:szCs w:val="26"/>
      <w:lang w:val="en-US"/>
    </w:rPr>
  </w:style>
  <w:style w:type="numbering" w:customStyle="1" w:styleId="HeadingNumbers">
    <w:name w:val="Heading Numbers"/>
    <w:uiPriority w:val="99"/>
    <w:rsid w:val="007C620E"/>
    <w:pPr>
      <w:numPr>
        <w:numId w:val="1"/>
      </w:numPr>
    </w:pPr>
  </w:style>
  <w:style w:type="paragraph" w:customStyle="1" w:styleId="EMRCBulletText1">
    <w:name w:val="_EMRC Bullet Text 1"/>
    <w:basedOn w:val="Normal"/>
    <w:qFormat/>
    <w:rsid w:val="00180EDE"/>
    <w:pPr>
      <w:numPr>
        <w:numId w:val="37"/>
      </w:numPr>
      <w:spacing w:after="120"/>
    </w:pPr>
  </w:style>
  <w:style w:type="numbering" w:customStyle="1" w:styleId="Bullets">
    <w:name w:val="Bullets"/>
    <w:uiPriority w:val="99"/>
    <w:rsid w:val="00180EDE"/>
    <w:pPr>
      <w:numPr>
        <w:numId w:val="4"/>
      </w:numPr>
    </w:pPr>
  </w:style>
  <w:style w:type="paragraph" w:customStyle="1" w:styleId="EMRCBulletText2">
    <w:name w:val="_EMRC Bullet Text 2"/>
    <w:basedOn w:val="EMRCBulletText1"/>
    <w:qFormat/>
    <w:rsid w:val="00180EDE"/>
    <w:pPr>
      <w:numPr>
        <w:ilvl w:val="1"/>
      </w:numPr>
    </w:pPr>
  </w:style>
  <w:style w:type="paragraph" w:customStyle="1" w:styleId="EMRCBulletText3">
    <w:name w:val="_EMRC Bullet Text 3"/>
    <w:basedOn w:val="EMRCBulletText2"/>
    <w:qFormat/>
    <w:rsid w:val="00180EDE"/>
    <w:pPr>
      <w:numPr>
        <w:ilvl w:val="2"/>
      </w:numPr>
    </w:pPr>
  </w:style>
  <w:style w:type="character" w:styleId="Emphasis">
    <w:name w:val="Emphasis"/>
    <w:basedOn w:val="DefaultParagraphFont"/>
    <w:uiPriority w:val="20"/>
    <w:qFormat/>
    <w:rsid w:val="00BC779E"/>
    <w:rPr>
      <w:i/>
      <w:iCs/>
    </w:rPr>
  </w:style>
  <w:style w:type="character" w:customStyle="1" w:styleId="Heading3Char">
    <w:name w:val="Heading 3 Char"/>
    <w:basedOn w:val="DefaultParagraphFont"/>
    <w:link w:val="Heading3"/>
    <w:uiPriority w:val="9"/>
    <w:rsid w:val="00420DEE"/>
    <w:rPr>
      <w:rFonts w:asciiTheme="majorHAnsi" w:eastAsiaTheme="majorEastAsia" w:hAnsiTheme="majorHAnsi" w:cstheme="majorBidi"/>
      <w:b/>
      <w:color w:val="6B6C6D" w:themeColor="accent3"/>
      <w:sz w:val="24"/>
      <w:szCs w:val="24"/>
      <w:lang w:val="en-US"/>
    </w:rPr>
  </w:style>
  <w:style w:type="paragraph" w:customStyle="1" w:styleId="1CoverPageEMRC">
    <w:name w:val="_1Cover Page EMRC"/>
    <w:basedOn w:val="Normal"/>
    <w:next w:val="Normal"/>
    <w:qFormat/>
    <w:rsid w:val="006670EB"/>
    <w:pPr>
      <w:spacing w:before="960" w:after="240"/>
    </w:pPr>
    <w:rPr>
      <w:rFonts w:asciiTheme="majorHAnsi" w:hAnsiTheme="majorHAnsi"/>
      <w:b/>
      <w:bCs/>
      <w:color w:val="313253" w:themeColor="accent5"/>
      <w:sz w:val="48"/>
      <w:szCs w:val="48"/>
    </w:rPr>
  </w:style>
  <w:style w:type="paragraph" w:customStyle="1" w:styleId="2CoverPageDepartment">
    <w:name w:val="_2Cover Page Department"/>
    <w:basedOn w:val="Normal"/>
    <w:next w:val="Normal"/>
    <w:qFormat/>
    <w:rsid w:val="006670EB"/>
    <w:pPr>
      <w:spacing w:after="240"/>
    </w:pPr>
    <w:rPr>
      <w:b/>
      <w:color w:val="313253" w:themeColor="accent5"/>
      <w:sz w:val="36"/>
      <w:szCs w:val="36"/>
    </w:rPr>
  </w:style>
  <w:style w:type="paragraph" w:customStyle="1" w:styleId="3CoverPageTitle">
    <w:name w:val="_3Cover Page Title"/>
    <w:basedOn w:val="Normal"/>
    <w:next w:val="Normal"/>
    <w:qFormat/>
    <w:rsid w:val="006670EB"/>
    <w:pPr>
      <w:spacing w:after="240"/>
    </w:pPr>
    <w:rPr>
      <w:b/>
      <w:color w:val="C1A408" w:themeColor="accent4"/>
      <w:sz w:val="28"/>
      <w:szCs w:val="28"/>
    </w:rPr>
  </w:style>
  <w:style w:type="paragraph" w:customStyle="1" w:styleId="4CoverPageSubtitle">
    <w:name w:val="_4Cover Page Subtitle"/>
    <w:basedOn w:val="Normal"/>
    <w:next w:val="Normal"/>
    <w:qFormat/>
    <w:rsid w:val="00180EDE"/>
    <w:pPr>
      <w:spacing w:after="480"/>
      <w:jc w:val="center"/>
    </w:pPr>
    <w:rPr>
      <w:b/>
      <w:bCs/>
      <w:color w:val="313253" w:themeColor="accent5"/>
      <w:sz w:val="48"/>
      <w:szCs w:val="48"/>
    </w:rPr>
  </w:style>
  <w:style w:type="paragraph" w:customStyle="1" w:styleId="HeadingNoNumber">
    <w:name w:val="_Heading No Number"/>
    <w:next w:val="Normal"/>
    <w:qFormat/>
    <w:rsid w:val="00180EDE"/>
    <w:pPr>
      <w:spacing w:before="240" w:after="180" w:line="240" w:lineRule="auto"/>
    </w:pPr>
    <w:rPr>
      <w:rFonts w:asciiTheme="majorHAnsi" w:eastAsiaTheme="majorEastAsia" w:hAnsiTheme="majorHAnsi" w:cstheme="majorBidi"/>
      <w:b/>
      <w:color w:val="313253" w:themeColor="accent5"/>
      <w:sz w:val="24"/>
      <w:szCs w:val="32"/>
      <w:lang w:val="en-US"/>
    </w:rPr>
  </w:style>
  <w:style w:type="paragraph" w:customStyle="1" w:styleId="Indent1">
    <w:name w:val="_Indent 1"/>
    <w:basedOn w:val="Normal"/>
    <w:qFormat/>
    <w:rsid w:val="00180EDE"/>
    <w:pPr>
      <w:spacing w:after="240"/>
      <w:ind w:left="567"/>
    </w:pPr>
  </w:style>
  <w:style w:type="paragraph" w:customStyle="1" w:styleId="Indent2">
    <w:name w:val="_Indent 2"/>
    <w:basedOn w:val="Indent1"/>
    <w:qFormat/>
    <w:rsid w:val="00180EDE"/>
    <w:pPr>
      <w:ind w:left="1418"/>
    </w:pPr>
  </w:style>
  <w:style w:type="paragraph" w:customStyle="1" w:styleId="Indent1Bullet1">
    <w:name w:val="_Indent1Bullet1"/>
    <w:basedOn w:val="Normal"/>
    <w:qFormat/>
    <w:rsid w:val="00180EDE"/>
    <w:pPr>
      <w:numPr>
        <w:numId w:val="41"/>
      </w:numPr>
      <w:spacing w:after="120"/>
    </w:pPr>
  </w:style>
  <w:style w:type="paragraph" w:customStyle="1" w:styleId="Indent1Bullet2">
    <w:name w:val="_Indent1Bullet2"/>
    <w:basedOn w:val="Normal"/>
    <w:qFormat/>
    <w:rsid w:val="00180EDE"/>
    <w:pPr>
      <w:numPr>
        <w:ilvl w:val="1"/>
        <w:numId w:val="41"/>
      </w:numPr>
      <w:spacing w:after="120"/>
    </w:pPr>
  </w:style>
  <w:style w:type="paragraph" w:customStyle="1" w:styleId="Indent1Bullet3">
    <w:name w:val="_Indent1Bullet3"/>
    <w:basedOn w:val="Normal"/>
    <w:qFormat/>
    <w:rsid w:val="00180EDE"/>
    <w:pPr>
      <w:numPr>
        <w:ilvl w:val="2"/>
        <w:numId w:val="41"/>
      </w:numPr>
      <w:spacing w:after="120"/>
    </w:pPr>
  </w:style>
  <w:style w:type="paragraph" w:customStyle="1" w:styleId="ListShiresFooter">
    <w:name w:val="_List Shires Footer"/>
    <w:basedOn w:val="Normal"/>
    <w:qFormat/>
    <w:rsid w:val="00180EDE"/>
    <w:pPr>
      <w:spacing w:after="240"/>
      <w:jc w:val="center"/>
    </w:pPr>
    <w:rPr>
      <w:rFonts w:ascii="Arial Narrow" w:hAnsi="Arial Narrow"/>
      <w:color w:val="6B6C6D" w:themeColor="accent3"/>
      <w:sz w:val="18"/>
      <w:szCs w:val="18"/>
    </w:rPr>
  </w:style>
  <w:style w:type="paragraph" w:customStyle="1" w:styleId="TOCHeading">
    <w:name w:val="_TOC Heading"/>
    <w:basedOn w:val="Normal"/>
    <w:next w:val="Normal"/>
    <w:qFormat/>
    <w:rsid w:val="00180EDE"/>
    <w:pPr>
      <w:spacing w:after="240"/>
    </w:pPr>
    <w:rPr>
      <w:b/>
      <w:color w:val="313253" w:themeColor="accent5"/>
      <w:sz w:val="36"/>
      <w:szCs w:val="36"/>
    </w:rPr>
  </w:style>
  <w:style w:type="table" w:customStyle="1" w:styleId="EMRCReportTable">
    <w:name w:val="EMRC Report Table"/>
    <w:basedOn w:val="TableNormal"/>
    <w:uiPriority w:val="99"/>
    <w:rsid w:val="00180EDE"/>
    <w:pPr>
      <w:spacing w:after="0" w:line="240" w:lineRule="auto"/>
    </w:pPr>
    <w:rPr>
      <w:sz w:val="18"/>
    </w:rPr>
    <w:tblPr/>
    <w:tcPr>
      <w:shd w:val="clear" w:color="auto" w:fill="auto"/>
    </w:tcPr>
    <w:tblStylePr w:type="firstRow">
      <w:pPr>
        <w:jc w:val="center"/>
      </w:pPr>
      <w:rPr>
        <w:rFonts w:ascii="Arial Narrow" w:hAnsi="Arial Narrow"/>
        <w:color w:val="C1A408" w:themeColor="accent4"/>
        <w:sz w:val="18"/>
      </w:rPr>
      <w:tblPr/>
      <w:tcPr>
        <w:shd w:val="clear" w:color="auto" w:fill="313253" w:themeFill="accent5"/>
      </w:tcPr>
    </w:tblStylePr>
    <w:tblStylePr w:type="lastRow">
      <w:rPr>
        <w:rFonts w:asciiTheme="minorHAnsi" w:hAnsiTheme="minorHAnsi"/>
        <w:sz w:val="18"/>
      </w:rPr>
    </w:tblStylePr>
  </w:style>
  <w:style w:type="numbering" w:customStyle="1" w:styleId="Indent1Bullets">
    <w:name w:val="Indent1Bullets"/>
    <w:uiPriority w:val="99"/>
    <w:rsid w:val="00180EDE"/>
    <w:pPr>
      <w:numPr>
        <w:numId w:val="41"/>
      </w:numPr>
    </w:pPr>
  </w:style>
  <w:style w:type="paragraph" w:styleId="TOC1">
    <w:name w:val="toc 1"/>
    <w:basedOn w:val="Normal"/>
    <w:next w:val="Normal"/>
    <w:uiPriority w:val="39"/>
    <w:unhideWhenUsed/>
    <w:rsid w:val="00180EDE"/>
    <w:pPr>
      <w:tabs>
        <w:tab w:val="right" w:leader="dot" w:pos="9713"/>
      </w:tabs>
      <w:spacing w:after="100"/>
      <w:ind w:left="567" w:right="284" w:hanging="567"/>
    </w:pPr>
    <w:rPr>
      <w:noProof/>
    </w:rPr>
  </w:style>
  <w:style w:type="paragraph" w:styleId="TOC2">
    <w:name w:val="toc 2"/>
    <w:basedOn w:val="Normal"/>
    <w:next w:val="Normal"/>
    <w:uiPriority w:val="39"/>
    <w:unhideWhenUsed/>
    <w:rsid w:val="00180EDE"/>
    <w:pPr>
      <w:tabs>
        <w:tab w:val="right" w:leader="dot" w:pos="9713"/>
      </w:tabs>
      <w:spacing w:after="100"/>
      <w:ind w:left="1134" w:right="284" w:hanging="567"/>
    </w:pPr>
    <w:rPr>
      <w:noProof/>
    </w:rPr>
  </w:style>
  <w:style w:type="paragraph" w:styleId="TOC3">
    <w:name w:val="toc 3"/>
    <w:basedOn w:val="Normal"/>
    <w:next w:val="Normal"/>
    <w:uiPriority w:val="39"/>
    <w:unhideWhenUsed/>
    <w:rsid w:val="00180EDE"/>
    <w:pPr>
      <w:tabs>
        <w:tab w:val="right" w:leader="dot" w:pos="9713"/>
      </w:tabs>
      <w:spacing w:after="100"/>
      <w:ind w:left="1134" w:right="284" w:hanging="567"/>
    </w:pPr>
  </w:style>
  <w:style w:type="paragraph" w:styleId="ListParagraph">
    <w:name w:val="List Paragraph"/>
    <w:basedOn w:val="Normal"/>
    <w:uiPriority w:val="34"/>
    <w:qFormat/>
    <w:rsid w:val="00E21D00"/>
    <w:pPr>
      <w:ind w:left="720"/>
      <w:contextualSpacing/>
    </w:pPr>
  </w:style>
  <w:style w:type="character" w:customStyle="1" w:styleId="normaltextrun">
    <w:name w:val="normaltextrun"/>
    <w:basedOn w:val="DefaultParagraphFont"/>
    <w:rsid w:val="00E0164A"/>
  </w:style>
  <w:style w:type="paragraph" w:styleId="BalloonText">
    <w:name w:val="Balloon Text"/>
    <w:basedOn w:val="Normal"/>
    <w:link w:val="BalloonTextChar"/>
    <w:uiPriority w:val="99"/>
    <w:semiHidden/>
    <w:unhideWhenUsed/>
    <w:rsid w:val="00E016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6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mrc.org.au\DFS\DOCS\Templates\Office2019\Policy%20-%20Title.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F68B32"/>
      </a:accent2>
      <a:accent3>
        <a:srgbClr val="6B6C6D"/>
      </a:accent3>
      <a:accent4>
        <a:srgbClr val="C1A408"/>
      </a:accent4>
      <a:accent5>
        <a:srgbClr val="313253"/>
      </a:accent5>
      <a:accent6>
        <a:srgbClr val="76923C"/>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80cde0-8142-4640-bba5-265be6a623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201CA2C1BC624EBD4B5257C3782DFB" ma:contentTypeVersion="15" ma:contentTypeDescription="Create a new document." ma:contentTypeScope="" ma:versionID="8ec04815b629463ad69419b9c57382a0">
  <xsd:schema xmlns:xsd="http://www.w3.org/2001/XMLSchema" xmlns:xs="http://www.w3.org/2001/XMLSchema" xmlns:p="http://schemas.microsoft.com/office/2006/metadata/properties" xmlns:ns3="6080cde0-8142-4640-bba5-265be6a62396" xmlns:ns4="45e12050-d101-429d-ba33-3cf7686d2f60" targetNamespace="http://schemas.microsoft.com/office/2006/metadata/properties" ma:root="true" ma:fieldsID="029f781e599901de305a4908d519ed32" ns3:_="" ns4:_="">
    <xsd:import namespace="6080cde0-8142-4640-bba5-265be6a62396"/>
    <xsd:import namespace="45e12050-d101-429d-ba33-3cf7686d2f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cde0-8142-4640-bba5-265be6a62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2050-d101-429d-ba33-3cf7686d2f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A648D-9B63-4066-9D3E-44214AC1455F}">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45e12050-d101-429d-ba33-3cf7686d2f60"/>
    <ds:schemaRef ds:uri="6080cde0-8142-4640-bba5-265be6a62396"/>
    <ds:schemaRef ds:uri="http://www.w3.org/XML/1998/namespace"/>
  </ds:schemaRefs>
</ds:datastoreItem>
</file>

<file path=customXml/itemProps2.xml><?xml version="1.0" encoding="utf-8"?>
<ds:datastoreItem xmlns:ds="http://schemas.openxmlformats.org/officeDocument/2006/customXml" ds:itemID="{9D3FAB46-83DA-48B5-99C4-7551E160EE27}">
  <ds:schemaRefs>
    <ds:schemaRef ds:uri="http://schemas.microsoft.com/sharepoint/v3/contenttype/forms"/>
  </ds:schemaRefs>
</ds:datastoreItem>
</file>

<file path=customXml/itemProps3.xml><?xml version="1.0" encoding="utf-8"?>
<ds:datastoreItem xmlns:ds="http://schemas.openxmlformats.org/officeDocument/2006/customXml" ds:itemID="{63C8080E-CB54-44DF-B6FB-024D5A94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cde0-8142-4640-bba5-265be6a62396"/>
    <ds:schemaRef ds:uri="45e12050-d101-429d-ba33-3cf7686d2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 Title</Template>
  <TotalTime>192</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Krzysko</dc:creator>
  <cp:keywords/>
  <dc:description/>
  <cp:lastModifiedBy>Lee Loughnan</cp:lastModifiedBy>
  <cp:revision>13</cp:revision>
  <cp:lastPrinted>2020-09-08T13:59:00Z</cp:lastPrinted>
  <dcterms:created xsi:type="dcterms:W3CDTF">2024-01-09T02:11:00Z</dcterms:created>
  <dcterms:modified xsi:type="dcterms:W3CDTF">2024-02-09T06:18:00Z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0x01010041201CA2C1BC624EBD4B5257C3782DFB</vt:lpwstr>
  </property>
</Properties>
</file>