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88273" w14:textId="77777777" w:rsidR="00E344F2" w:rsidRPr="00E344F2" w:rsidRDefault="00E344F2" w:rsidP="00000DD8">
      <w:pPr>
        <w:pStyle w:val="1CoverPageEMRC"/>
      </w:pPr>
      <w:r w:rsidRPr="00E344F2">
        <w:t>Eastern Metropolitan Regional Council</w:t>
      </w:r>
    </w:p>
    <w:p w14:paraId="15EDA2B0" w14:textId="77777777" w:rsidR="00D44B19" w:rsidRDefault="00D44B19" w:rsidP="00F01E42">
      <w:pPr>
        <w:pStyle w:val="3CoverPageTitle"/>
        <w:rPr>
          <w:sz w:val="56"/>
          <w:szCs w:val="56"/>
        </w:rPr>
      </w:pPr>
    </w:p>
    <w:p w14:paraId="4D0F3901" w14:textId="77777777" w:rsidR="00D44B19" w:rsidRDefault="00D44B19" w:rsidP="00F01E42">
      <w:pPr>
        <w:pStyle w:val="3CoverPageTitle"/>
        <w:rPr>
          <w:sz w:val="56"/>
          <w:szCs w:val="56"/>
        </w:rPr>
      </w:pPr>
    </w:p>
    <w:p w14:paraId="2604F0C7" w14:textId="5886F91A" w:rsidR="00E344F2" w:rsidRPr="00D44B19" w:rsidRDefault="00D44B19" w:rsidP="00F01E42">
      <w:pPr>
        <w:pStyle w:val="3CoverPageTitle"/>
        <w:rPr>
          <w:sz w:val="56"/>
          <w:szCs w:val="56"/>
        </w:rPr>
      </w:pPr>
      <w:r w:rsidRPr="00D44B19">
        <w:rPr>
          <w:sz w:val="56"/>
          <w:szCs w:val="56"/>
        </w:rPr>
        <w:t>Asset Management Plan</w:t>
      </w:r>
    </w:p>
    <w:p w14:paraId="2695D8D6" w14:textId="12004DDF" w:rsidR="00E344F2" w:rsidRDefault="00D44B19" w:rsidP="00F01E42">
      <w:pPr>
        <w:pStyle w:val="4CoverPageSubtitle"/>
      </w:pPr>
      <w:r>
        <w:t xml:space="preserve">As </w:t>
      </w:r>
      <w:proofErr w:type="gramStart"/>
      <w:r>
        <w:t>at</w:t>
      </w:r>
      <w:proofErr w:type="gramEnd"/>
      <w:r>
        <w:t xml:space="preserve"> 30 June 202</w:t>
      </w:r>
      <w:r w:rsidR="006E3B78">
        <w:t>6</w:t>
      </w:r>
    </w:p>
    <w:p w14:paraId="5DAC5BB6" w14:textId="77777777" w:rsidR="00E344F2" w:rsidRDefault="00E344F2" w:rsidP="00F01E42">
      <w:pPr>
        <w:jc w:val="center"/>
      </w:pPr>
    </w:p>
    <w:p w14:paraId="38474A61" w14:textId="77777777" w:rsidR="00CC28AA" w:rsidRDefault="00CC28AA">
      <w:pPr>
        <w:spacing w:after="200" w:line="276" w:lineRule="auto"/>
        <w:jc w:val="left"/>
      </w:pPr>
    </w:p>
    <w:p w14:paraId="21FD4F58" w14:textId="77777777" w:rsidR="00CC28AA" w:rsidRDefault="00CC28AA">
      <w:pPr>
        <w:spacing w:after="200" w:line="276" w:lineRule="auto"/>
        <w:jc w:val="left"/>
        <w:sectPr w:rsidR="00CC28AA" w:rsidSect="00CC28AA">
          <w:headerReference w:type="even" r:id="rId8"/>
          <w:headerReference w:type="default" r:id="rId9"/>
          <w:footerReference w:type="even" r:id="rId10"/>
          <w:footerReference w:type="default" r:id="rId11"/>
          <w:headerReference w:type="first" r:id="rId12"/>
          <w:footerReference w:type="first" r:id="rId13"/>
          <w:pgSz w:w="11906" w:h="16838" w:code="9"/>
          <w:pgMar w:top="2126" w:right="851" w:bottom="1134" w:left="1332" w:header="425" w:footer="425" w:gutter="0"/>
          <w:cols w:space="708"/>
          <w:docGrid w:linePitch="360"/>
        </w:sectPr>
      </w:pPr>
    </w:p>
    <w:p w14:paraId="0DD9B039" w14:textId="77777777" w:rsidR="00F01E42" w:rsidRDefault="00373D37" w:rsidP="00373D37">
      <w:pPr>
        <w:pStyle w:val="TOCHeading"/>
      </w:pPr>
      <w:r>
        <w:lastRenderedPageBreak/>
        <w:t>Contents</w:t>
      </w:r>
    </w:p>
    <w:p w14:paraId="1BD7C8FC" w14:textId="6FD177FB" w:rsidR="002223CE" w:rsidRDefault="002223CE">
      <w:pPr>
        <w:spacing w:after="200" w:line="276" w:lineRule="auto"/>
        <w:jc w:val="left"/>
      </w:pPr>
    </w:p>
    <w:p w14:paraId="4A7F8576" w14:textId="688EF8A7" w:rsidR="007B32B9" w:rsidRDefault="007B32B9">
      <w:pPr>
        <w:pStyle w:val="TOC1"/>
        <w:rPr>
          <w:rFonts w:eastAsiaTheme="minorEastAsia"/>
          <w:kern w:val="2"/>
          <w:sz w:val="24"/>
          <w:szCs w:val="24"/>
          <w:lang w:eastAsia="en-AU"/>
          <w14:ligatures w14:val="standardContextual"/>
        </w:rPr>
      </w:pPr>
      <w:r>
        <w:rPr>
          <w:noProof w:val="0"/>
        </w:rPr>
        <w:fldChar w:fldCharType="begin"/>
      </w:r>
      <w:r>
        <w:instrText xml:space="preserve"> TOC \o "1-3" \h \z \u </w:instrText>
      </w:r>
      <w:r>
        <w:rPr>
          <w:noProof w:val="0"/>
        </w:rPr>
        <w:fldChar w:fldCharType="separate"/>
      </w:r>
      <w:hyperlink w:anchor="_Toc207186087" w:history="1">
        <w:r w:rsidRPr="003C0FB2">
          <w:rPr>
            <w:rStyle w:val="Hyperlink"/>
          </w:rPr>
          <w:t>1</w:t>
        </w:r>
        <w:r>
          <w:rPr>
            <w:rFonts w:eastAsiaTheme="minorEastAsia"/>
            <w:kern w:val="2"/>
            <w:sz w:val="24"/>
            <w:szCs w:val="24"/>
            <w:lang w:eastAsia="en-AU"/>
            <w14:ligatures w14:val="standardContextual"/>
          </w:rPr>
          <w:tab/>
        </w:r>
        <w:r w:rsidRPr="003C0FB2">
          <w:rPr>
            <w:rStyle w:val="Hyperlink"/>
          </w:rPr>
          <w:t>Introduction</w:t>
        </w:r>
        <w:r>
          <w:rPr>
            <w:webHidden/>
          </w:rPr>
          <w:tab/>
        </w:r>
        <w:r>
          <w:rPr>
            <w:webHidden/>
          </w:rPr>
          <w:fldChar w:fldCharType="begin"/>
        </w:r>
        <w:r>
          <w:rPr>
            <w:webHidden/>
          </w:rPr>
          <w:instrText xml:space="preserve"> PAGEREF _Toc207186087 \h </w:instrText>
        </w:r>
        <w:r>
          <w:rPr>
            <w:webHidden/>
          </w:rPr>
        </w:r>
        <w:r>
          <w:rPr>
            <w:webHidden/>
          </w:rPr>
          <w:fldChar w:fldCharType="separate"/>
        </w:r>
        <w:r w:rsidR="00682DF8">
          <w:rPr>
            <w:webHidden/>
          </w:rPr>
          <w:t>1</w:t>
        </w:r>
        <w:r>
          <w:rPr>
            <w:webHidden/>
          </w:rPr>
          <w:fldChar w:fldCharType="end"/>
        </w:r>
      </w:hyperlink>
    </w:p>
    <w:p w14:paraId="192FE04D" w14:textId="0E311E9D" w:rsidR="007B32B9" w:rsidRDefault="007B32B9">
      <w:pPr>
        <w:pStyle w:val="TOC2"/>
        <w:tabs>
          <w:tab w:val="left" w:pos="1134"/>
        </w:tabs>
        <w:rPr>
          <w:rFonts w:eastAsiaTheme="minorEastAsia"/>
          <w:kern w:val="2"/>
          <w:sz w:val="24"/>
          <w:szCs w:val="24"/>
          <w:lang w:eastAsia="en-AU"/>
          <w14:ligatures w14:val="standardContextual"/>
        </w:rPr>
      </w:pPr>
      <w:hyperlink w:anchor="_Toc207186088" w:history="1">
        <w:r w:rsidRPr="003C0FB2">
          <w:rPr>
            <w:rStyle w:val="Hyperlink"/>
          </w:rPr>
          <w:t>1.1</w:t>
        </w:r>
        <w:r>
          <w:rPr>
            <w:rFonts w:eastAsiaTheme="minorEastAsia"/>
            <w:kern w:val="2"/>
            <w:sz w:val="24"/>
            <w:szCs w:val="24"/>
            <w:lang w:eastAsia="en-AU"/>
            <w14:ligatures w14:val="standardContextual"/>
          </w:rPr>
          <w:tab/>
        </w:r>
        <w:r w:rsidRPr="003C0FB2">
          <w:rPr>
            <w:rStyle w:val="Hyperlink"/>
          </w:rPr>
          <w:t>Overview of the Eastern Metropolitan Regional Council</w:t>
        </w:r>
        <w:r>
          <w:rPr>
            <w:webHidden/>
          </w:rPr>
          <w:tab/>
        </w:r>
        <w:r>
          <w:rPr>
            <w:webHidden/>
          </w:rPr>
          <w:fldChar w:fldCharType="begin"/>
        </w:r>
        <w:r>
          <w:rPr>
            <w:webHidden/>
          </w:rPr>
          <w:instrText xml:space="preserve"> PAGEREF _Toc207186088 \h </w:instrText>
        </w:r>
        <w:r>
          <w:rPr>
            <w:webHidden/>
          </w:rPr>
        </w:r>
        <w:r>
          <w:rPr>
            <w:webHidden/>
          </w:rPr>
          <w:fldChar w:fldCharType="separate"/>
        </w:r>
        <w:r w:rsidR="00682DF8">
          <w:rPr>
            <w:webHidden/>
          </w:rPr>
          <w:t>1</w:t>
        </w:r>
        <w:r>
          <w:rPr>
            <w:webHidden/>
          </w:rPr>
          <w:fldChar w:fldCharType="end"/>
        </w:r>
      </w:hyperlink>
    </w:p>
    <w:p w14:paraId="5CBCBB0B" w14:textId="00566BA8" w:rsidR="007B32B9" w:rsidRDefault="007B32B9">
      <w:pPr>
        <w:pStyle w:val="TOC2"/>
        <w:tabs>
          <w:tab w:val="left" w:pos="1134"/>
        </w:tabs>
        <w:rPr>
          <w:rFonts w:eastAsiaTheme="minorEastAsia"/>
          <w:kern w:val="2"/>
          <w:sz w:val="24"/>
          <w:szCs w:val="24"/>
          <w:lang w:eastAsia="en-AU"/>
          <w14:ligatures w14:val="standardContextual"/>
        </w:rPr>
      </w:pPr>
      <w:hyperlink w:anchor="_Toc207186089" w:history="1">
        <w:r w:rsidRPr="003C0FB2">
          <w:rPr>
            <w:rStyle w:val="Hyperlink"/>
          </w:rPr>
          <w:t>1.2</w:t>
        </w:r>
        <w:r>
          <w:rPr>
            <w:rFonts w:eastAsiaTheme="minorEastAsia"/>
            <w:kern w:val="2"/>
            <w:sz w:val="24"/>
            <w:szCs w:val="24"/>
            <w:lang w:eastAsia="en-AU"/>
            <w14:ligatures w14:val="standardContextual"/>
          </w:rPr>
          <w:tab/>
        </w:r>
        <w:r w:rsidRPr="003C0FB2">
          <w:rPr>
            <w:rStyle w:val="Hyperlink"/>
          </w:rPr>
          <w:t>Vision, Mission and Values</w:t>
        </w:r>
        <w:r>
          <w:rPr>
            <w:webHidden/>
          </w:rPr>
          <w:tab/>
        </w:r>
        <w:r>
          <w:rPr>
            <w:webHidden/>
          </w:rPr>
          <w:fldChar w:fldCharType="begin"/>
        </w:r>
        <w:r>
          <w:rPr>
            <w:webHidden/>
          </w:rPr>
          <w:instrText xml:space="preserve"> PAGEREF _Toc207186089 \h </w:instrText>
        </w:r>
        <w:r>
          <w:rPr>
            <w:webHidden/>
          </w:rPr>
        </w:r>
        <w:r>
          <w:rPr>
            <w:webHidden/>
          </w:rPr>
          <w:fldChar w:fldCharType="separate"/>
        </w:r>
        <w:r w:rsidR="00682DF8">
          <w:rPr>
            <w:webHidden/>
          </w:rPr>
          <w:t>2</w:t>
        </w:r>
        <w:r>
          <w:rPr>
            <w:webHidden/>
          </w:rPr>
          <w:fldChar w:fldCharType="end"/>
        </w:r>
      </w:hyperlink>
    </w:p>
    <w:p w14:paraId="4F60835D" w14:textId="61500E38" w:rsidR="007B32B9" w:rsidRDefault="007B32B9">
      <w:pPr>
        <w:pStyle w:val="TOC1"/>
        <w:rPr>
          <w:rFonts w:eastAsiaTheme="minorEastAsia"/>
          <w:kern w:val="2"/>
          <w:sz w:val="24"/>
          <w:szCs w:val="24"/>
          <w:lang w:eastAsia="en-AU"/>
          <w14:ligatures w14:val="standardContextual"/>
        </w:rPr>
      </w:pPr>
      <w:hyperlink w:anchor="_Toc207186090" w:history="1">
        <w:r w:rsidRPr="003C0FB2">
          <w:rPr>
            <w:rStyle w:val="Hyperlink"/>
          </w:rPr>
          <w:t>2</w:t>
        </w:r>
        <w:r>
          <w:rPr>
            <w:rFonts w:eastAsiaTheme="minorEastAsia"/>
            <w:kern w:val="2"/>
            <w:sz w:val="24"/>
            <w:szCs w:val="24"/>
            <w:lang w:eastAsia="en-AU"/>
            <w14:ligatures w14:val="standardContextual"/>
          </w:rPr>
          <w:tab/>
        </w:r>
        <w:r w:rsidRPr="003C0FB2">
          <w:rPr>
            <w:rStyle w:val="Hyperlink"/>
          </w:rPr>
          <w:t>Integrated Planning Framework</w:t>
        </w:r>
        <w:r>
          <w:rPr>
            <w:webHidden/>
          </w:rPr>
          <w:tab/>
        </w:r>
        <w:r>
          <w:rPr>
            <w:webHidden/>
          </w:rPr>
          <w:fldChar w:fldCharType="begin"/>
        </w:r>
        <w:r>
          <w:rPr>
            <w:webHidden/>
          </w:rPr>
          <w:instrText xml:space="preserve"> PAGEREF _Toc207186090 \h </w:instrText>
        </w:r>
        <w:r>
          <w:rPr>
            <w:webHidden/>
          </w:rPr>
        </w:r>
        <w:r>
          <w:rPr>
            <w:webHidden/>
          </w:rPr>
          <w:fldChar w:fldCharType="separate"/>
        </w:r>
        <w:r w:rsidR="00682DF8">
          <w:rPr>
            <w:webHidden/>
          </w:rPr>
          <w:t>2</w:t>
        </w:r>
        <w:r>
          <w:rPr>
            <w:webHidden/>
          </w:rPr>
          <w:fldChar w:fldCharType="end"/>
        </w:r>
      </w:hyperlink>
    </w:p>
    <w:p w14:paraId="449C75FB" w14:textId="3E260E11" w:rsidR="007B32B9" w:rsidRDefault="007B32B9">
      <w:pPr>
        <w:pStyle w:val="TOC1"/>
        <w:rPr>
          <w:rFonts w:eastAsiaTheme="minorEastAsia"/>
          <w:kern w:val="2"/>
          <w:sz w:val="24"/>
          <w:szCs w:val="24"/>
          <w:lang w:eastAsia="en-AU"/>
          <w14:ligatures w14:val="standardContextual"/>
        </w:rPr>
      </w:pPr>
      <w:hyperlink w:anchor="_Toc207186091" w:history="1">
        <w:r w:rsidRPr="003C0FB2">
          <w:rPr>
            <w:rStyle w:val="Hyperlink"/>
          </w:rPr>
          <w:t>3</w:t>
        </w:r>
        <w:r>
          <w:rPr>
            <w:rFonts w:eastAsiaTheme="minorEastAsia"/>
            <w:kern w:val="2"/>
            <w:sz w:val="24"/>
            <w:szCs w:val="24"/>
            <w:lang w:eastAsia="en-AU"/>
            <w14:ligatures w14:val="standardContextual"/>
          </w:rPr>
          <w:tab/>
        </w:r>
        <w:r w:rsidRPr="003C0FB2">
          <w:rPr>
            <w:rStyle w:val="Hyperlink"/>
          </w:rPr>
          <w:t>Asset Management Planning</w:t>
        </w:r>
        <w:r>
          <w:rPr>
            <w:webHidden/>
          </w:rPr>
          <w:tab/>
        </w:r>
        <w:r>
          <w:rPr>
            <w:webHidden/>
          </w:rPr>
          <w:fldChar w:fldCharType="begin"/>
        </w:r>
        <w:r>
          <w:rPr>
            <w:webHidden/>
          </w:rPr>
          <w:instrText xml:space="preserve"> PAGEREF _Toc207186091 \h </w:instrText>
        </w:r>
        <w:r>
          <w:rPr>
            <w:webHidden/>
          </w:rPr>
        </w:r>
        <w:r>
          <w:rPr>
            <w:webHidden/>
          </w:rPr>
          <w:fldChar w:fldCharType="separate"/>
        </w:r>
        <w:r w:rsidR="00682DF8">
          <w:rPr>
            <w:webHidden/>
          </w:rPr>
          <w:t>3</w:t>
        </w:r>
        <w:r>
          <w:rPr>
            <w:webHidden/>
          </w:rPr>
          <w:fldChar w:fldCharType="end"/>
        </w:r>
      </w:hyperlink>
    </w:p>
    <w:p w14:paraId="4166E6F0" w14:textId="6E8846E2" w:rsidR="007B32B9" w:rsidRDefault="007B32B9">
      <w:pPr>
        <w:pStyle w:val="TOC2"/>
        <w:tabs>
          <w:tab w:val="left" w:pos="1134"/>
        </w:tabs>
        <w:rPr>
          <w:rFonts w:eastAsiaTheme="minorEastAsia"/>
          <w:kern w:val="2"/>
          <w:sz w:val="24"/>
          <w:szCs w:val="24"/>
          <w:lang w:eastAsia="en-AU"/>
          <w14:ligatures w14:val="standardContextual"/>
        </w:rPr>
      </w:pPr>
      <w:hyperlink w:anchor="_Toc207186092" w:history="1">
        <w:r w:rsidRPr="003C0FB2">
          <w:rPr>
            <w:rStyle w:val="Hyperlink"/>
          </w:rPr>
          <w:t>3.1</w:t>
        </w:r>
        <w:r>
          <w:rPr>
            <w:rFonts w:eastAsiaTheme="minorEastAsia"/>
            <w:kern w:val="2"/>
            <w:sz w:val="24"/>
            <w:szCs w:val="24"/>
            <w:lang w:eastAsia="en-AU"/>
            <w14:ligatures w14:val="standardContextual"/>
          </w:rPr>
          <w:tab/>
        </w:r>
        <w:r w:rsidRPr="003C0FB2">
          <w:rPr>
            <w:rStyle w:val="Hyperlink"/>
          </w:rPr>
          <w:t>Key Concepts</w:t>
        </w:r>
        <w:r>
          <w:rPr>
            <w:webHidden/>
          </w:rPr>
          <w:tab/>
        </w:r>
        <w:r>
          <w:rPr>
            <w:webHidden/>
          </w:rPr>
          <w:fldChar w:fldCharType="begin"/>
        </w:r>
        <w:r>
          <w:rPr>
            <w:webHidden/>
          </w:rPr>
          <w:instrText xml:space="preserve"> PAGEREF _Toc207186092 \h </w:instrText>
        </w:r>
        <w:r>
          <w:rPr>
            <w:webHidden/>
          </w:rPr>
        </w:r>
        <w:r>
          <w:rPr>
            <w:webHidden/>
          </w:rPr>
          <w:fldChar w:fldCharType="separate"/>
        </w:r>
        <w:r w:rsidR="00682DF8">
          <w:rPr>
            <w:webHidden/>
          </w:rPr>
          <w:t>3</w:t>
        </w:r>
        <w:r>
          <w:rPr>
            <w:webHidden/>
          </w:rPr>
          <w:fldChar w:fldCharType="end"/>
        </w:r>
      </w:hyperlink>
    </w:p>
    <w:p w14:paraId="23B66D57" w14:textId="779AD8EE" w:rsidR="007B32B9" w:rsidRDefault="007B32B9">
      <w:pPr>
        <w:pStyle w:val="TOC2"/>
        <w:tabs>
          <w:tab w:val="left" w:pos="1200"/>
        </w:tabs>
        <w:rPr>
          <w:rFonts w:eastAsiaTheme="minorEastAsia"/>
          <w:kern w:val="2"/>
          <w:sz w:val="24"/>
          <w:szCs w:val="24"/>
          <w:lang w:eastAsia="en-AU"/>
          <w14:ligatures w14:val="standardContextual"/>
        </w:rPr>
      </w:pPr>
      <w:hyperlink w:anchor="_Toc207186093" w:history="1">
        <w:r w:rsidRPr="003C0FB2">
          <w:rPr>
            <w:rStyle w:val="Hyperlink"/>
          </w:rPr>
          <w:t xml:space="preserve">3.2 </w:t>
        </w:r>
        <w:r>
          <w:rPr>
            <w:rFonts w:eastAsiaTheme="minorEastAsia"/>
            <w:kern w:val="2"/>
            <w:sz w:val="24"/>
            <w:szCs w:val="24"/>
            <w:lang w:eastAsia="en-AU"/>
            <w14:ligatures w14:val="standardContextual"/>
          </w:rPr>
          <w:tab/>
        </w:r>
        <w:r w:rsidRPr="003C0FB2">
          <w:rPr>
            <w:rStyle w:val="Hyperlink"/>
          </w:rPr>
          <w:t>Terminology</w:t>
        </w:r>
        <w:r>
          <w:rPr>
            <w:webHidden/>
          </w:rPr>
          <w:tab/>
        </w:r>
        <w:r>
          <w:rPr>
            <w:webHidden/>
          </w:rPr>
          <w:fldChar w:fldCharType="begin"/>
        </w:r>
        <w:r>
          <w:rPr>
            <w:webHidden/>
          </w:rPr>
          <w:instrText xml:space="preserve"> PAGEREF _Toc207186093 \h </w:instrText>
        </w:r>
        <w:r>
          <w:rPr>
            <w:webHidden/>
          </w:rPr>
        </w:r>
        <w:r>
          <w:rPr>
            <w:webHidden/>
          </w:rPr>
          <w:fldChar w:fldCharType="separate"/>
        </w:r>
        <w:r w:rsidR="00682DF8">
          <w:rPr>
            <w:webHidden/>
          </w:rPr>
          <w:t>4</w:t>
        </w:r>
        <w:r>
          <w:rPr>
            <w:webHidden/>
          </w:rPr>
          <w:fldChar w:fldCharType="end"/>
        </w:r>
      </w:hyperlink>
    </w:p>
    <w:p w14:paraId="288D6884" w14:textId="2F11789A" w:rsidR="007B32B9" w:rsidRDefault="007B32B9">
      <w:pPr>
        <w:pStyle w:val="TOC2"/>
        <w:tabs>
          <w:tab w:val="left" w:pos="1200"/>
        </w:tabs>
        <w:rPr>
          <w:rFonts w:eastAsiaTheme="minorEastAsia"/>
          <w:kern w:val="2"/>
          <w:sz w:val="24"/>
          <w:szCs w:val="24"/>
          <w:lang w:eastAsia="en-AU"/>
          <w14:ligatures w14:val="standardContextual"/>
        </w:rPr>
      </w:pPr>
      <w:hyperlink w:anchor="_Toc207186094" w:history="1">
        <w:r w:rsidRPr="003C0FB2">
          <w:rPr>
            <w:rStyle w:val="Hyperlink"/>
          </w:rPr>
          <w:t xml:space="preserve">3.3 </w:t>
        </w:r>
        <w:r>
          <w:rPr>
            <w:rFonts w:eastAsiaTheme="minorEastAsia"/>
            <w:kern w:val="2"/>
            <w:sz w:val="24"/>
            <w:szCs w:val="24"/>
            <w:lang w:eastAsia="en-AU"/>
            <w14:ligatures w14:val="standardContextual"/>
          </w:rPr>
          <w:tab/>
        </w:r>
        <w:r w:rsidRPr="003C0FB2">
          <w:rPr>
            <w:rStyle w:val="Hyperlink"/>
          </w:rPr>
          <w:t>Financial Management</w:t>
        </w:r>
        <w:r>
          <w:rPr>
            <w:webHidden/>
          </w:rPr>
          <w:tab/>
        </w:r>
        <w:r>
          <w:rPr>
            <w:webHidden/>
          </w:rPr>
          <w:fldChar w:fldCharType="begin"/>
        </w:r>
        <w:r>
          <w:rPr>
            <w:webHidden/>
          </w:rPr>
          <w:instrText xml:space="preserve"> PAGEREF _Toc207186094 \h </w:instrText>
        </w:r>
        <w:r>
          <w:rPr>
            <w:webHidden/>
          </w:rPr>
        </w:r>
        <w:r>
          <w:rPr>
            <w:webHidden/>
          </w:rPr>
          <w:fldChar w:fldCharType="separate"/>
        </w:r>
        <w:r w:rsidR="00682DF8">
          <w:rPr>
            <w:webHidden/>
          </w:rPr>
          <w:t>5</w:t>
        </w:r>
        <w:r>
          <w:rPr>
            <w:webHidden/>
          </w:rPr>
          <w:fldChar w:fldCharType="end"/>
        </w:r>
      </w:hyperlink>
    </w:p>
    <w:p w14:paraId="53EF557C" w14:textId="4D3251DA" w:rsidR="007B32B9" w:rsidRDefault="007B32B9">
      <w:pPr>
        <w:pStyle w:val="TOC1"/>
        <w:rPr>
          <w:rFonts w:eastAsiaTheme="minorEastAsia"/>
          <w:kern w:val="2"/>
          <w:sz w:val="24"/>
          <w:szCs w:val="24"/>
          <w:lang w:eastAsia="en-AU"/>
          <w14:ligatures w14:val="standardContextual"/>
        </w:rPr>
      </w:pPr>
      <w:hyperlink w:anchor="_Toc207186095" w:history="1">
        <w:r w:rsidRPr="003C0FB2">
          <w:rPr>
            <w:rStyle w:val="Hyperlink"/>
          </w:rPr>
          <w:t>4</w:t>
        </w:r>
        <w:r>
          <w:rPr>
            <w:rFonts w:eastAsiaTheme="minorEastAsia"/>
            <w:kern w:val="2"/>
            <w:sz w:val="24"/>
            <w:szCs w:val="24"/>
            <w:lang w:eastAsia="en-AU"/>
            <w14:ligatures w14:val="standardContextual"/>
          </w:rPr>
          <w:tab/>
        </w:r>
        <w:r w:rsidRPr="003C0FB2">
          <w:rPr>
            <w:rStyle w:val="Hyperlink"/>
          </w:rPr>
          <w:t>EMRC’s Strategic Asset Management Framework</w:t>
        </w:r>
        <w:r>
          <w:rPr>
            <w:webHidden/>
          </w:rPr>
          <w:tab/>
        </w:r>
        <w:r>
          <w:rPr>
            <w:webHidden/>
          </w:rPr>
          <w:fldChar w:fldCharType="begin"/>
        </w:r>
        <w:r>
          <w:rPr>
            <w:webHidden/>
          </w:rPr>
          <w:instrText xml:space="preserve"> PAGEREF _Toc207186095 \h </w:instrText>
        </w:r>
        <w:r>
          <w:rPr>
            <w:webHidden/>
          </w:rPr>
        </w:r>
        <w:r>
          <w:rPr>
            <w:webHidden/>
          </w:rPr>
          <w:fldChar w:fldCharType="separate"/>
        </w:r>
        <w:r w:rsidR="00682DF8">
          <w:rPr>
            <w:webHidden/>
          </w:rPr>
          <w:t>7</w:t>
        </w:r>
        <w:r>
          <w:rPr>
            <w:webHidden/>
          </w:rPr>
          <w:fldChar w:fldCharType="end"/>
        </w:r>
      </w:hyperlink>
    </w:p>
    <w:p w14:paraId="1FAF6578" w14:textId="0B3E17CF" w:rsidR="007B32B9" w:rsidRDefault="007B32B9">
      <w:pPr>
        <w:pStyle w:val="TOC2"/>
        <w:tabs>
          <w:tab w:val="left" w:pos="1134"/>
        </w:tabs>
        <w:rPr>
          <w:rFonts w:eastAsiaTheme="minorEastAsia"/>
          <w:kern w:val="2"/>
          <w:sz w:val="24"/>
          <w:szCs w:val="24"/>
          <w:lang w:eastAsia="en-AU"/>
          <w14:ligatures w14:val="standardContextual"/>
        </w:rPr>
      </w:pPr>
      <w:hyperlink w:anchor="_Toc207186096" w:history="1">
        <w:r w:rsidRPr="003C0FB2">
          <w:rPr>
            <w:rStyle w:val="Hyperlink"/>
          </w:rPr>
          <w:t>4.1</w:t>
        </w:r>
        <w:r>
          <w:rPr>
            <w:rFonts w:eastAsiaTheme="minorEastAsia"/>
            <w:kern w:val="2"/>
            <w:sz w:val="24"/>
            <w:szCs w:val="24"/>
            <w:lang w:eastAsia="en-AU"/>
            <w14:ligatures w14:val="standardContextual"/>
          </w:rPr>
          <w:tab/>
        </w:r>
        <w:r w:rsidRPr="003C0FB2">
          <w:rPr>
            <w:rStyle w:val="Hyperlink"/>
          </w:rPr>
          <w:t>Asset Management Policy</w:t>
        </w:r>
        <w:r>
          <w:rPr>
            <w:webHidden/>
          </w:rPr>
          <w:tab/>
        </w:r>
        <w:r>
          <w:rPr>
            <w:webHidden/>
          </w:rPr>
          <w:fldChar w:fldCharType="begin"/>
        </w:r>
        <w:r>
          <w:rPr>
            <w:webHidden/>
          </w:rPr>
          <w:instrText xml:space="preserve"> PAGEREF _Toc207186096 \h </w:instrText>
        </w:r>
        <w:r>
          <w:rPr>
            <w:webHidden/>
          </w:rPr>
        </w:r>
        <w:r>
          <w:rPr>
            <w:webHidden/>
          </w:rPr>
          <w:fldChar w:fldCharType="separate"/>
        </w:r>
        <w:r w:rsidR="00682DF8">
          <w:rPr>
            <w:webHidden/>
          </w:rPr>
          <w:t>8</w:t>
        </w:r>
        <w:r>
          <w:rPr>
            <w:webHidden/>
          </w:rPr>
          <w:fldChar w:fldCharType="end"/>
        </w:r>
      </w:hyperlink>
    </w:p>
    <w:p w14:paraId="26D463E5" w14:textId="51FA6CDF" w:rsidR="007B32B9" w:rsidRDefault="007B32B9">
      <w:pPr>
        <w:pStyle w:val="TOC2"/>
        <w:tabs>
          <w:tab w:val="left" w:pos="1134"/>
        </w:tabs>
        <w:rPr>
          <w:rFonts w:eastAsiaTheme="minorEastAsia"/>
          <w:kern w:val="2"/>
          <w:sz w:val="24"/>
          <w:szCs w:val="24"/>
          <w:lang w:eastAsia="en-AU"/>
          <w14:ligatures w14:val="standardContextual"/>
        </w:rPr>
      </w:pPr>
      <w:hyperlink w:anchor="_Toc207186097" w:history="1">
        <w:r w:rsidRPr="003C0FB2">
          <w:rPr>
            <w:rStyle w:val="Hyperlink"/>
          </w:rPr>
          <w:t>4.2</w:t>
        </w:r>
        <w:r>
          <w:rPr>
            <w:rFonts w:eastAsiaTheme="minorEastAsia"/>
            <w:kern w:val="2"/>
            <w:sz w:val="24"/>
            <w:szCs w:val="24"/>
            <w:lang w:eastAsia="en-AU"/>
            <w14:ligatures w14:val="standardContextual"/>
          </w:rPr>
          <w:tab/>
        </w:r>
        <w:r w:rsidRPr="003C0FB2">
          <w:rPr>
            <w:rStyle w:val="Hyperlink"/>
          </w:rPr>
          <w:t>Strategic Asset Management Plan</w:t>
        </w:r>
        <w:r>
          <w:rPr>
            <w:webHidden/>
          </w:rPr>
          <w:tab/>
        </w:r>
        <w:r>
          <w:rPr>
            <w:webHidden/>
          </w:rPr>
          <w:fldChar w:fldCharType="begin"/>
        </w:r>
        <w:r>
          <w:rPr>
            <w:webHidden/>
          </w:rPr>
          <w:instrText xml:space="preserve"> PAGEREF _Toc207186097 \h </w:instrText>
        </w:r>
        <w:r>
          <w:rPr>
            <w:webHidden/>
          </w:rPr>
        </w:r>
        <w:r>
          <w:rPr>
            <w:webHidden/>
          </w:rPr>
          <w:fldChar w:fldCharType="separate"/>
        </w:r>
        <w:r w:rsidR="00682DF8">
          <w:rPr>
            <w:webHidden/>
          </w:rPr>
          <w:t>8</w:t>
        </w:r>
        <w:r>
          <w:rPr>
            <w:webHidden/>
          </w:rPr>
          <w:fldChar w:fldCharType="end"/>
        </w:r>
      </w:hyperlink>
    </w:p>
    <w:p w14:paraId="3D08FD9E" w14:textId="1125C564" w:rsidR="007B32B9" w:rsidRDefault="007B32B9">
      <w:pPr>
        <w:pStyle w:val="TOC2"/>
        <w:tabs>
          <w:tab w:val="left" w:pos="1134"/>
        </w:tabs>
        <w:rPr>
          <w:rFonts w:eastAsiaTheme="minorEastAsia"/>
          <w:kern w:val="2"/>
          <w:sz w:val="24"/>
          <w:szCs w:val="24"/>
          <w:lang w:eastAsia="en-AU"/>
          <w14:ligatures w14:val="standardContextual"/>
        </w:rPr>
      </w:pPr>
      <w:hyperlink w:anchor="_Toc207186098" w:history="1">
        <w:r w:rsidRPr="003C0FB2">
          <w:rPr>
            <w:rStyle w:val="Hyperlink"/>
          </w:rPr>
          <w:t>4.3</w:t>
        </w:r>
        <w:r>
          <w:rPr>
            <w:rFonts w:eastAsiaTheme="minorEastAsia"/>
            <w:kern w:val="2"/>
            <w:sz w:val="24"/>
            <w:szCs w:val="24"/>
            <w:lang w:eastAsia="en-AU"/>
            <w14:ligatures w14:val="standardContextual"/>
          </w:rPr>
          <w:tab/>
        </w:r>
        <w:r w:rsidRPr="003C0FB2">
          <w:rPr>
            <w:rStyle w:val="Hyperlink"/>
          </w:rPr>
          <w:t>Operational Asset Management Planning</w:t>
        </w:r>
        <w:r>
          <w:rPr>
            <w:webHidden/>
          </w:rPr>
          <w:tab/>
        </w:r>
        <w:r>
          <w:rPr>
            <w:webHidden/>
          </w:rPr>
          <w:fldChar w:fldCharType="begin"/>
        </w:r>
        <w:r>
          <w:rPr>
            <w:webHidden/>
          </w:rPr>
          <w:instrText xml:space="preserve"> PAGEREF _Toc207186098 \h </w:instrText>
        </w:r>
        <w:r>
          <w:rPr>
            <w:webHidden/>
          </w:rPr>
        </w:r>
        <w:r>
          <w:rPr>
            <w:webHidden/>
          </w:rPr>
          <w:fldChar w:fldCharType="separate"/>
        </w:r>
        <w:r w:rsidR="00682DF8">
          <w:rPr>
            <w:webHidden/>
          </w:rPr>
          <w:t>8</w:t>
        </w:r>
        <w:r>
          <w:rPr>
            <w:webHidden/>
          </w:rPr>
          <w:fldChar w:fldCharType="end"/>
        </w:r>
      </w:hyperlink>
    </w:p>
    <w:p w14:paraId="1CF65D6F" w14:textId="00C918BC" w:rsidR="007B32B9" w:rsidRDefault="007B32B9">
      <w:pPr>
        <w:pStyle w:val="TOC2"/>
        <w:tabs>
          <w:tab w:val="left" w:pos="1134"/>
        </w:tabs>
        <w:rPr>
          <w:rFonts w:eastAsiaTheme="minorEastAsia"/>
          <w:kern w:val="2"/>
          <w:sz w:val="24"/>
          <w:szCs w:val="24"/>
          <w:lang w:eastAsia="en-AU"/>
          <w14:ligatures w14:val="standardContextual"/>
        </w:rPr>
      </w:pPr>
      <w:hyperlink w:anchor="_Toc207186099" w:history="1">
        <w:r w:rsidRPr="003C0FB2">
          <w:rPr>
            <w:rStyle w:val="Hyperlink"/>
          </w:rPr>
          <w:t>4.4</w:t>
        </w:r>
        <w:r>
          <w:rPr>
            <w:rFonts w:eastAsiaTheme="minorEastAsia"/>
            <w:kern w:val="2"/>
            <w:sz w:val="24"/>
            <w:szCs w:val="24"/>
            <w:lang w:eastAsia="en-AU"/>
            <w14:ligatures w14:val="standardContextual"/>
          </w:rPr>
          <w:tab/>
        </w:r>
        <w:r w:rsidRPr="003C0FB2">
          <w:rPr>
            <w:rStyle w:val="Hyperlink"/>
          </w:rPr>
          <w:t>Evaluation</w:t>
        </w:r>
        <w:r>
          <w:rPr>
            <w:webHidden/>
          </w:rPr>
          <w:tab/>
        </w:r>
        <w:r>
          <w:rPr>
            <w:webHidden/>
          </w:rPr>
          <w:fldChar w:fldCharType="begin"/>
        </w:r>
        <w:r>
          <w:rPr>
            <w:webHidden/>
          </w:rPr>
          <w:instrText xml:space="preserve"> PAGEREF _Toc207186099 \h </w:instrText>
        </w:r>
        <w:r>
          <w:rPr>
            <w:webHidden/>
          </w:rPr>
        </w:r>
        <w:r>
          <w:rPr>
            <w:webHidden/>
          </w:rPr>
          <w:fldChar w:fldCharType="separate"/>
        </w:r>
        <w:r w:rsidR="00682DF8">
          <w:rPr>
            <w:webHidden/>
          </w:rPr>
          <w:t>8</w:t>
        </w:r>
        <w:r>
          <w:rPr>
            <w:webHidden/>
          </w:rPr>
          <w:fldChar w:fldCharType="end"/>
        </w:r>
      </w:hyperlink>
    </w:p>
    <w:p w14:paraId="326B264B" w14:textId="0A712EA6" w:rsidR="007B32B9" w:rsidRDefault="007B32B9">
      <w:pPr>
        <w:pStyle w:val="TOC2"/>
        <w:tabs>
          <w:tab w:val="left" w:pos="1134"/>
        </w:tabs>
        <w:rPr>
          <w:rFonts w:eastAsiaTheme="minorEastAsia"/>
          <w:kern w:val="2"/>
          <w:sz w:val="24"/>
          <w:szCs w:val="24"/>
          <w:lang w:eastAsia="en-AU"/>
          <w14:ligatures w14:val="standardContextual"/>
        </w:rPr>
      </w:pPr>
      <w:hyperlink w:anchor="_Toc207186100" w:history="1">
        <w:r w:rsidRPr="003C0FB2">
          <w:rPr>
            <w:rStyle w:val="Hyperlink"/>
          </w:rPr>
          <w:t>4.5</w:t>
        </w:r>
        <w:r>
          <w:rPr>
            <w:rFonts w:eastAsiaTheme="minorEastAsia"/>
            <w:kern w:val="2"/>
            <w:sz w:val="24"/>
            <w:szCs w:val="24"/>
            <w:lang w:eastAsia="en-AU"/>
            <w14:ligatures w14:val="standardContextual"/>
          </w:rPr>
          <w:tab/>
        </w:r>
        <w:r w:rsidRPr="003C0FB2">
          <w:rPr>
            <w:rStyle w:val="Hyperlink"/>
          </w:rPr>
          <w:t>Reporting</w:t>
        </w:r>
        <w:r>
          <w:rPr>
            <w:webHidden/>
          </w:rPr>
          <w:tab/>
        </w:r>
        <w:r>
          <w:rPr>
            <w:webHidden/>
          </w:rPr>
          <w:fldChar w:fldCharType="begin"/>
        </w:r>
        <w:r>
          <w:rPr>
            <w:webHidden/>
          </w:rPr>
          <w:instrText xml:space="preserve"> PAGEREF _Toc207186100 \h </w:instrText>
        </w:r>
        <w:r>
          <w:rPr>
            <w:webHidden/>
          </w:rPr>
        </w:r>
        <w:r>
          <w:rPr>
            <w:webHidden/>
          </w:rPr>
          <w:fldChar w:fldCharType="separate"/>
        </w:r>
        <w:r w:rsidR="00682DF8">
          <w:rPr>
            <w:webHidden/>
          </w:rPr>
          <w:t>9</w:t>
        </w:r>
        <w:r>
          <w:rPr>
            <w:webHidden/>
          </w:rPr>
          <w:fldChar w:fldCharType="end"/>
        </w:r>
      </w:hyperlink>
    </w:p>
    <w:p w14:paraId="53A8E336" w14:textId="40222817" w:rsidR="007B32B9" w:rsidRDefault="007B32B9">
      <w:pPr>
        <w:pStyle w:val="TOC1"/>
        <w:rPr>
          <w:rFonts w:eastAsiaTheme="minorEastAsia"/>
          <w:kern w:val="2"/>
          <w:sz w:val="24"/>
          <w:szCs w:val="24"/>
          <w:lang w:eastAsia="en-AU"/>
          <w14:ligatures w14:val="standardContextual"/>
        </w:rPr>
      </w:pPr>
      <w:hyperlink w:anchor="_Toc207186101" w:history="1">
        <w:r w:rsidRPr="003C0FB2">
          <w:rPr>
            <w:rStyle w:val="Hyperlink"/>
          </w:rPr>
          <w:t>5</w:t>
        </w:r>
        <w:r>
          <w:rPr>
            <w:rFonts w:eastAsiaTheme="minorEastAsia"/>
            <w:kern w:val="2"/>
            <w:sz w:val="24"/>
            <w:szCs w:val="24"/>
            <w:lang w:eastAsia="en-AU"/>
            <w14:ligatures w14:val="standardContextual"/>
          </w:rPr>
          <w:tab/>
        </w:r>
        <w:r w:rsidRPr="003C0FB2">
          <w:rPr>
            <w:rStyle w:val="Hyperlink"/>
          </w:rPr>
          <w:t>Asset Portfolio</w:t>
        </w:r>
        <w:r>
          <w:rPr>
            <w:webHidden/>
          </w:rPr>
          <w:tab/>
        </w:r>
        <w:r>
          <w:rPr>
            <w:webHidden/>
          </w:rPr>
          <w:fldChar w:fldCharType="begin"/>
        </w:r>
        <w:r>
          <w:rPr>
            <w:webHidden/>
          </w:rPr>
          <w:instrText xml:space="preserve"> PAGEREF _Toc207186101 \h </w:instrText>
        </w:r>
        <w:r>
          <w:rPr>
            <w:webHidden/>
          </w:rPr>
        </w:r>
        <w:r>
          <w:rPr>
            <w:webHidden/>
          </w:rPr>
          <w:fldChar w:fldCharType="separate"/>
        </w:r>
        <w:r w:rsidR="00682DF8">
          <w:rPr>
            <w:webHidden/>
          </w:rPr>
          <w:t>9</w:t>
        </w:r>
        <w:r>
          <w:rPr>
            <w:webHidden/>
          </w:rPr>
          <w:fldChar w:fldCharType="end"/>
        </w:r>
      </w:hyperlink>
    </w:p>
    <w:p w14:paraId="112171E6" w14:textId="17B194BF" w:rsidR="007B32B9" w:rsidRDefault="007B32B9">
      <w:pPr>
        <w:pStyle w:val="TOC2"/>
        <w:tabs>
          <w:tab w:val="left" w:pos="1134"/>
        </w:tabs>
        <w:rPr>
          <w:rFonts w:eastAsiaTheme="minorEastAsia"/>
          <w:kern w:val="2"/>
          <w:sz w:val="24"/>
          <w:szCs w:val="24"/>
          <w:lang w:eastAsia="en-AU"/>
          <w14:ligatures w14:val="standardContextual"/>
        </w:rPr>
      </w:pPr>
      <w:hyperlink w:anchor="_Toc207186102" w:history="1">
        <w:r w:rsidRPr="003C0FB2">
          <w:rPr>
            <w:rStyle w:val="Hyperlink"/>
          </w:rPr>
          <w:t>5.1</w:t>
        </w:r>
        <w:r>
          <w:rPr>
            <w:rFonts w:eastAsiaTheme="minorEastAsia"/>
            <w:kern w:val="2"/>
            <w:sz w:val="24"/>
            <w:szCs w:val="24"/>
            <w:lang w:eastAsia="en-AU"/>
            <w14:ligatures w14:val="standardContextual"/>
          </w:rPr>
          <w:tab/>
        </w:r>
        <w:r w:rsidRPr="003C0FB2">
          <w:rPr>
            <w:rStyle w:val="Hyperlink"/>
          </w:rPr>
          <w:t>Current Asset Portfolio</w:t>
        </w:r>
        <w:r>
          <w:rPr>
            <w:webHidden/>
          </w:rPr>
          <w:tab/>
        </w:r>
        <w:r>
          <w:rPr>
            <w:webHidden/>
          </w:rPr>
          <w:fldChar w:fldCharType="begin"/>
        </w:r>
        <w:r>
          <w:rPr>
            <w:webHidden/>
          </w:rPr>
          <w:instrText xml:space="preserve"> PAGEREF _Toc207186102 \h </w:instrText>
        </w:r>
        <w:r>
          <w:rPr>
            <w:webHidden/>
          </w:rPr>
        </w:r>
        <w:r>
          <w:rPr>
            <w:webHidden/>
          </w:rPr>
          <w:fldChar w:fldCharType="separate"/>
        </w:r>
        <w:r w:rsidR="00682DF8">
          <w:rPr>
            <w:webHidden/>
          </w:rPr>
          <w:t>9</w:t>
        </w:r>
        <w:r>
          <w:rPr>
            <w:webHidden/>
          </w:rPr>
          <w:fldChar w:fldCharType="end"/>
        </w:r>
      </w:hyperlink>
    </w:p>
    <w:p w14:paraId="72210FF5" w14:textId="747DABC6" w:rsidR="007B32B9" w:rsidRDefault="007B32B9">
      <w:pPr>
        <w:pStyle w:val="TOC1"/>
        <w:rPr>
          <w:rFonts w:eastAsiaTheme="minorEastAsia"/>
          <w:kern w:val="2"/>
          <w:sz w:val="24"/>
          <w:szCs w:val="24"/>
          <w:lang w:eastAsia="en-AU"/>
          <w14:ligatures w14:val="standardContextual"/>
        </w:rPr>
      </w:pPr>
      <w:hyperlink w:anchor="_Toc207186104" w:history="1">
        <w:r w:rsidRPr="003C0FB2">
          <w:rPr>
            <w:rStyle w:val="Hyperlink"/>
          </w:rPr>
          <w:t>6</w:t>
        </w:r>
        <w:r>
          <w:rPr>
            <w:rFonts w:eastAsiaTheme="minorEastAsia"/>
            <w:kern w:val="2"/>
            <w:sz w:val="24"/>
            <w:szCs w:val="24"/>
            <w:lang w:eastAsia="en-AU"/>
            <w14:ligatures w14:val="standardContextual"/>
          </w:rPr>
          <w:tab/>
        </w:r>
        <w:r w:rsidRPr="003C0FB2">
          <w:rPr>
            <w:rStyle w:val="Hyperlink"/>
          </w:rPr>
          <w:t>Asset Management Strategy</w:t>
        </w:r>
        <w:r>
          <w:rPr>
            <w:webHidden/>
          </w:rPr>
          <w:tab/>
        </w:r>
        <w:r>
          <w:rPr>
            <w:webHidden/>
          </w:rPr>
          <w:fldChar w:fldCharType="begin"/>
        </w:r>
        <w:r>
          <w:rPr>
            <w:webHidden/>
          </w:rPr>
          <w:instrText xml:space="preserve"> PAGEREF _Toc207186104 \h </w:instrText>
        </w:r>
        <w:r>
          <w:rPr>
            <w:webHidden/>
          </w:rPr>
        </w:r>
        <w:r>
          <w:rPr>
            <w:webHidden/>
          </w:rPr>
          <w:fldChar w:fldCharType="separate"/>
        </w:r>
        <w:r w:rsidR="00682DF8">
          <w:rPr>
            <w:webHidden/>
          </w:rPr>
          <w:t>11</w:t>
        </w:r>
        <w:r>
          <w:rPr>
            <w:webHidden/>
          </w:rPr>
          <w:fldChar w:fldCharType="end"/>
        </w:r>
      </w:hyperlink>
    </w:p>
    <w:p w14:paraId="796E276E" w14:textId="23C384AE" w:rsidR="007B32B9" w:rsidRDefault="007B32B9">
      <w:pPr>
        <w:pStyle w:val="TOC2"/>
        <w:tabs>
          <w:tab w:val="left" w:pos="1134"/>
        </w:tabs>
        <w:rPr>
          <w:rFonts w:eastAsiaTheme="minorEastAsia"/>
          <w:kern w:val="2"/>
          <w:sz w:val="24"/>
          <w:szCs w:val="24"/>
          <w:lang w:eastAsia="en-AU"/>
          <w14:ligatures w14:val="standardContextual"/>
        </w:rPr>
      </w:pPr>
      <w:hyperlink w:anchor="_Toc207186105" w:history="1">
        <w:r w:rsidRPr="003C0FB2">
          <w:rPr>
            <w:rStyle w:val="Hyperlink"/>
          </w:rPr>
          <w:t>6.1</w:t>
        </w:r>
        <w:r>
          <w:rPr>
            <w:rFonts w:eastAsiaTheme="minorEastAsia"/>
            <w:kern w:val="2"/>
            <w:sz w:val="24"/>
            <w:szCs w:val="24"/>
            <w:lang w:eastAsia="en-AU"/>
            <w14:ligatures w14:val="standardContextual"/>
          </w:rPr>
          <w:tab/>
        </w:r>
        <w:r w:rsidRPr="003C0FB2">
          <w:rPr>
            <w:rStyle w:val="Hyperlink"/>
          </w:rPr>
          <w:t>Asset Acquisition</w:t>
        </w:r>
        <w:r>
          <w:rPr>
            <w:webHidden/>
          </w:rPr>
          <w:tab/>
        </w:r>
        <w:r>
          <w:rPr>
            <w:webHidden/>
          </w:rPr>
          <w:fldChar w:fldCharType="begin"/>
        </w:r>
        <w:r>
          <w:rPr>
            <w:webHidden/>
          </w:rPr>
          <w:instrText xml:space="preserve"> PAGEREF _Toc207186105 \h </w:instrText>
        </w:r>
        <w:r>
          <w:rPr>
            <w:webHidden/>
          </w:rPr>
        </w:r>
        <w:r>
          <w:rPr>
            <w:webHidden/>
          </w:rPr>
          <w:fldChar w:fldCharType="separate"/>
        </w:r>
        <w:r w:rsidR="00682DF8">
          <w:rPr>
            <w:webHidden/>
          </w:rPr>
          <w:t>11</w:t>
        </w:r>
        <w:r>
          <w:rPr>
            <w:webHidden/>
          </w:rPr>
          <w:fldChar w:fldCharType="end"/>
        </w:r>
      </w:hyperlink>
    </w:p>
    <w:p w14:paraId="11EBA9DD" w14:textId="7F0E706D" w:rsidR="007B32B9" w:rsidRDefault="007B32B9">
      <w:pPr>
        <w:pStyle w:val="TOC2"/>
        <w:tabs>
          <w:tab w:val="left" w:pos="1200"/>
        </w:tabs>
        <w:rPr>
          <w:rFonts w:eastAsiaTheme="minorEastAsia"/>
          <w:kern w:val="2"/>
          <w:sz w:val="24"/>
          <w:szCs w:val="24"/>
          <w:lang w:eastAsia="en-AU"/>
          <w14:ligatures w14:val="standardContextual"/>
        </w:rPr>
      </w:pPr>
      <w:hyperlink w:anchor="_Toc207186106" w:history="1">
        <w:r w:rsidRPr="003C0FB2">
          <w:rPr>
            <w:rStyle w:val="Hyperlink"/>
          </w:rPr>
          <w:t xml:space="preserve">6.2 </w:t>
        </w:r>
        <w:r>
          <w:rPr>
            <w:rFonts w:eastAsiaTheme="minorEastAsia"/>
            <w:kern w:val="2"/>
            <w:sz w:val="24"/>
            <w:szCs w:val="24"/>
            <w:lang w:eastAsia="en-AU"/>
            <w14:ligatures w14:val="standardContextual"/>
          </w:rPr>
          <w:tab/>
        </w:r>
        <w:r w:rsidRPr="003C0FB2">
          <w:rPr>
            <w:rStyle w:val="Hyperlink"/>
          </w:rPr>
          <w:t>Operations and Maintenance</w:t>
        </w:r>
        <w:r>
          <w:rPr>
            <w:webHidden/>
          </w:rPr>
          <w:tab/>
        </w:r>
        <w:r>
          <w:rPr>
            <w:webHidden/>
          </w:rPr>
          <w:fldChar w:fldCharType="begin"/>
        </w:r>
        <w:r>
          <w:rPr>
            <w:webHidden/>
          </w:rPr>
          <w:instrText xml:space="preserve"> PAGEREF _Toc207186106 \h </w:instrText>
        </w:r>
        <w:r>
          <w:rPr>
            <w:webHidden/>
          </w:rPr>
        </w:r>
        <w:r>
          <w:rPr>
            <w:webHidden/>
          </w:rPr>
          <w:fldChar w:fldCharType="separate"/>
        </w:r>
        <w:r w:rsidR="00682DF8">
          <w:rPr>
            <w:webHidden/>
          </w:rPr>
          <w:t>11</w:t>
        </w:r>
        <w:r>
          <w:rPr>
            <w:webHidden/>
          </w:rPr>
          <w:fldChar w:fldCharType="end"/>
        </w:r>
      </w:hyperlink>
    </w:p>
    <w:p w14:paraId="18E0435A" w14:textId="0B95C714" w:rsidR="007B32B9" w:rsidRDefault="007B32B9">
      <w:pPr>
        <w:pStyle w:val="TOC2"/>
        <w:tabs>
          <w:tab w:val="left" w:pos="1134"/>
        </w:tabs>
      </w:pPr>
      <w:hyperlink w:anchor="_Toc207186107" w:history="1">
        <w:r w:rsidRPr="003C0FB2">
          <w:rPr>
            <w:rStyle w:val="Hyperlink"/>
          </w:rPr>
          <w:t>6.3</w:t>
        </w:r>
        <w:r>
          <w:rPr>
            <w:rFonts w:eastAsiaTheme="minorEastAsia"/>
            <w:kern w:val="2"/>
            <w:sz w:val="24"/>
            <w:szCs w:val="24"/>
            <w:lang w:eastAsia="en-AU"/>
            <w14:ligatures w14:val="standardContextual"/>
          </w:rPr>
          <w:tab/>
        </w:r>
        <w:r w:rsidRPr="003C0FB2">
          <w:rPr>
            <w:rStyle w:val="Hyperlink"/>
          </w:rPr>
          <w:t xml:space="preserve"> Disposal and Destruction</w:t>
        </w:r>
        <w:r>
          <w:rPr>
            <w:webHidden/>
          </w:rPr>
          <w:tab/>
        </w:r>
        <w:r>
          <w:rPr>
            <w:webHidden/>
          </w:rPr>
          <w:fldChar w:fldCharType="begin"/>
        </w:r>
        <w:r>
          <w:rPr>
            <w:webHidden/>
          </w:rPr>
          <w:instrText xml:space="preserve"> PAGEREF _Toc207186107 \h </w:instrText>
        </w:r>
        <w:r>
          <w:rPr>
            <w:webHidden/>
          </w:rPr>
        </w:r>
        <w:r>
          <w:rPr>
            <w:webHidden/>
          </w:rPr>
          <w:fldChar w:fldCharType="separate"/>
        </w:r>
        <w:r w:rsidR="00682DF8">
          <w:rPr>
            <w:webHidden/>
          </w:rPr>
          <w:t>12</w:t>
        </w:r>
        <w:r>
          <w:rPr>
            <w:webHidden/>
          </w:rPr>
          <w:fldChar w:fldCharType="end"/>
        </w:r>
      </w:hyperlink>
    </w:p>
    <w:p w14:paraId="40D3576E" w14:textId="791E5499" w:rsidR="00682DF8" w:rsidRPr="00682DF8" w:rsidRDefault="00682DF8" w:rsidP="00682DF8">
      <w:pPr>
        <w:pStyle w:val="TOC2"/>
        <w:tabs>
          <w:tab w:val="left" w:pos="1134"/>
        </w:tabs>
        <w:rPr>
          <w:rFonts w:eastAsiaTheme="minorEastAsia"/>
          <w:kern w:val="2"/>
          <w:lang w:eastAsia="en-AU"/>
          <w14:ligatures w14:val="standardContextual"/>
        </w:rPr>
      </w:pPr>
      <w:hyperlink w:anchor="_Toc207186107" w:history="1">
        <w:r w:rsidRPr="00682DF8">
          <w:rPr>
            <w:rFonts w:eastAsiaTheme="minorEastAsia"/>
            <w:kern w:val="2"/>
            <w:lang w:eastAsia="en-AU"/>
            <w14:ligatures w14:val="standardContextual"/>
          </w:rPr>
          <w:t>6.4</w:t>
        </w:r>
        <w:r w:rsidRPr="00682DF8">
          <w:rPr>
            <w:rFonts w:eastAsiaTheme="minorEastAsia"/>
            <w:kern w:val="2"/>
            <w:lang w:eastAsia="en-AU"/>
            <w14:ligatures w14:val="standardContextual"/>
          </w:rPr>
          <w:tab/>
          <w:t>Post Life Cycle Analysis</w:t>
        </w:r>
        <w:r w:rsidRPr="00682DF8">
          <w:rPr>
            <w:rFonts w:eastAsiaTheme="minorEastAsia"/>
            <w:webHidden/>
            <w:kern w:val="2"/>
            <w:lang w:eastAsia="en-AU"/>
            <w14:ligatures w14:val="standardContextual"/>
          </w:rPr>
          <w:tab/>
        </w:r>
        <w:r w:rsidRPr="00682DF8">
          <w:rPr>
            <w:rFonts w:eastAsiaTheme="minorEastAsia"/>
            <w:webHidden/>
            <w:kern w:val="2"/>
            <w:lang w:eastAsia="en-AU"/>
            <w14:ligatures w14:val="standardContextual"/>
          </w:rPr>
          <w:fldChar w:fldCharType="begin"/>
        </w:r>
        <w:r w:rsidRPr="00682DF8">
          <w:rPr>
            <w:rFonts w:eastAsiaTheme="minorEastAsia"/>
            <w:webHidden/>
            <w:kern w:val="2"/>
            <w:lang w:eastAsia="en-AU"/>
            <w14:ligatures w14:val="standardContextual"/>
          </w:rPr>
          <w:instrText xml:space="preserve"> PAGEREF _Toc207186107 \h </w:instrText>
        </w:r>
        <w:r w:rsidRPr="00682DF8">
          <w:rPr>
            <w:rFonts w:eastAsiaTheme="minorEastAsia"/>
            <w:webHidden/>
            <w:kern w:val="2"/>
            <w:lang w:eastAsia="en-AU"/>
            <w14:ligatures w14:val="standardContextual"/>
          </w:rPr>
        </w:r>
        <w:r w:rsidRPr="00682DF8">
          <w:rPr>
            <w:rFonts w:eastAsiaTheme="minorEastAsia"/>
            <w:webHidden/>
            <w:kern w:val="2"/>
            <w:lang w:eastAsia="en-AU"/>
            <w14:ligatures w14:val="standardContextual"/>
          </w:rPr>
          <w:fldChar w:fldCharType="separate"/>
        </w:r>
        <w:r w:rsidRPr="00682DF8">
          <w:rPr>
            <w:rFonts w:eastAsiaTheme="minorEastAsia"/>
            <w:webHidden/>
            <w:kern w:val="2"/>
            <w:lang w:eastAsia="en-AU"/>
            <w14:ligatures w14:val="standardContextual"/>
          </w:rPr>
          <w:t>12</w:t>
        </w:r>
        <w:r w:rsidRPr="00682DF8">
          <w:rPr>
            <w:rFonts w:eastAsiaTheme="minorEastAsia"/>
            <w:webHidden/>
            <w:kern w:val="2"/>
            <w:lang w:eastAsia="en-AU"/>
            <w14:ligatures w14:val="standardContextual"/>
          </w:rPr>
          <w:fldChar w:fldCharType="end"/>
        </w:r>
      </w:hyperlink>
    </w:p>
    <w:p w14:paraId="697F972F" w14:textId="77777777" w:rsidR="00682DF8" w:rsidRPr="00682DF8" w:rsidRDefault="00682DF8" w:rsidP="00682DF8"/>
    <w:p w14:paraId="2DB8001C" w14:textId="6E8492C8" w:rsidR="007B32B9" w:rsidRDefault="007B32B9" w:rsidP="007B32B9">
      <w:r>
        <w:rPr>
          <w:b/>
          <w:bCs/>
          <w:noProof/>
          <w:lang w:val="en-US"/>
        </w:rPr>
        <w:fldChar w:fldCharType="end"/>
      </w:r>
    </w:p>
    <w:p w14:paraId="40462637" w14:textId="77777777" w:rsidR="00CC28AA" w:rsidRDefault="00CC28AA">
      <w:pPr>
        <w:spacing w:after="200" w:line="276" w:lineRule="auto"/>
        <w:jc w:val="left"/>
        <w:sectPr w:rsidR="00CC28AA" w:rsidSect="00CC28AA">
          <w:headerReference w:type="default" r:id="rId14"/>
          <w:footerReference w:type="default" r:id="rId15"/>
          <w:footerReference w:type="first" r:id="rId16"/>
          <w:pgSz w:w="11906" w:h="16838" w:code="9"/>
          <w:pgMar w:top="2126" w:right="851" w:bottom="1134" w:left="1332" w:header="425" w:footer="425" w:gutter="0"/>
          <w:pgNumType w:fmt="lowerRoman" w:start="1"/>
          <w:cols w:space="708"/>
          <w:docGrid w:linePitch="360"/>
        </w:sectPr>
      </w:pPr>
    </w:p>
    <w:p w14:paraId="5E34EE6F" w14:textId="2F37626D" w:rsidR="0030464E" w:rsidRDefault="00780E3E" w:rsidP="00356782">
      <w:pPr>
        <w:pStyle w:val="Heading1"/>
        <w:numPr>
          <w:ilvl w:val="0"/>
          <w:numId w:val="8"/>
        </w:numPr>
      </w:pPr>
      <w:bookmarkStart w:id="0" w:name="_Toc207186087"/>
      <w:r>
        <w:lastRenderedPageBreak/>
        <w:t>Introduction</w:t>
      </w:r>
      <w:bookmarkEnd w:id="0"/>
    </w:p>
    <w:p w14:paraId="76589A2E" w14:textId="7DFCF3D4" w:rsidR="0030464E" w:rsidRPr="00780E3E" w:rsidRDefault="00780E3E" w:rsidP="00356782">
      <w:pPr>
        <w:pStyle w:val="Heading2"/>
        <w:numPr>
          <w:ilvl w:val="1"/>
          <w:numId w:val="8"/>
        </w:numPr>
        <w:ind w:left="0" w:firstLine="0"/>
        <w:rPr>
          <w:color w:val="83AD27"/>
        </w:rPr>
      </w:pPr>
      <w:bookmarkStart w:id="1" w:name="_Toc207186088"/>
      <w:r w:rsidRPr="00780E3E">
        <w:rPr>
          <w:noProof/>
          <w:color w:val="83AD27"/>
        </w:rPr>
        <w:t xml:space="preserve">Overview of the Eastern </w:t>
      </w:r>
      <w:r w:rsidR="000C6BEB">
        <w:rPr>
          <w:noProof/>
          <w:color w:val="83AD27"/>
        </w:rPr>
        <w:t>Metropolitan</w:t>
      </w:r>
      <w:r w:rsidRPr="00780E3E">
        <w:rPr>
          <w:noProof/>
          <w:color w:val="83AD27"/>
        </w:rPr>
        <w:t xml:space="preserve"> Regional Council</w:t>
      </w:r>
      <w:bookmarkEnd w:id="1"/>
    </w:p>
    <w:p w14:paraId="4EBB169A" w14:textId="0FB51A95" w:rsidR="007A7E61" w:rsidRDefault="007A7E61" w:rsidP="007A7E61">
      <w:bookmarkStart w:id="2" w:name="_Toc58228917"/>
      <w:bookmarkStart w:id="3" w:name="_Toc66703520"/>
      <w:r>
        <w:t>The Eastern Metropolitan Regional Council (EMRC) is a progressive and innovative regional local government working on behalf of the member Councils located in Perth's Eastern Region - Town of Bassendean and City of Bayswater.</w:t>
      </w:r>
    </w:p>
    <w:p w14:paraId="00117399" w14:textId="1C19AD73" w:rsidR="007A7E61" w:rsidRDefault="007A7E61" w:rsidP="007A7E61">
      <w:r>
        <w:t>Providing services in waste management, environmental management and regional development, the EMRC is a model of successful collaboration, initiating projects which deliver real benefits to the EMRC Region.</w:t>
      </w:r>
    </w:p>
    <w:p w14:paraId="2BE0D0F2" w14:textId="77777777" w:rsidR="007A7E61" w:rsidRPr="007A7E61" w:rsidRDefault="007A7E61" w:rsidP="007A7E61">
      <w:r w:rsidRPr="007A7E61">
        <w:t>The EMRC Region is a significant gateway to greater Perth, hosting major air, road and rail transport hubs.</w:t>
      </w:r>
    </w:p>
    <w:p w14:paraId="6ABCADC0" w14:textId="77777777" w:rsidR="007A7E61" w:rsidRPr="007A7E61" w:rsidRDefault="007A7E61" w:rsidP="007A7E61">
      <w:r w:rsidRPr="007A7E61">
        <w:t>Significant recent investment in transport infrastructure has driven rapid improvements in freight capability and has enhanced the EMRC Region’s attractiveness to national and international businesses seeking well connected locations. Developments including Tonkin Gap Project, EastLink WA and various Metronet projects, will continue to support regional development and infrastructure improvements.</w:t>
      </w:r>
    </w:p>
    <w:p w14:paraId="636296C9" w14:textId="77777777" w:rsidR="007A7E61" w:rsidRPr="007A7E61" w:rsidRDefault="007A7E61" w:rsidP="007A7E61">
      <w:r w:rsidRPr="007A7E61">
        <w:t>Development of Perth Airport; Airport Central, future runway expansion and improved terminal infrastructure continue to support future growth and access to the Region. The EMRC Region’s environment provides a high quality of life for its residents.</w:t>
      </w:r>
    </w:p>
    <w:p w14:paraId="583F7668" w14:textId="77777777" w:rsidR="007A7E61" w:rsidRPr="007A7E61" w:rsidRDefault="007A7E61" w:rsidP="007A7E61">
      <w:r w:rsidRPr="007A7E61">
        <w:t>Amenities include national parks, walking and cycling trails and reserves on the banks of the Derbarl Yerrigan, linking the - main waterways that cover the Region; Helena River, Woodbridge and Blackadder Creek, Jane Brook, Susanna Brook and Wooroloo Brook. Heritage, culture and arts attractions include one of the oldest settled areas in WA and the ever-popular Swan Valley and boutique wineries in the Perth Hills.</w:t>
      </w:r>
    </w:p>
    <w:p w14:paraId="15AE685F" w14:textId="77777777" w:rsidR="007A7E61" w:rsidRDefault="007A7E61" w:rsidP="007A7E61">
      <w:r w:rsidRPr="007A7E61">
        <w:t>The EMRC Region’s diverse economy, access to a skilled workforce and a range of leisure, lifestyle and living opportunities represent an attractive investment destination and is well-positioned for continued growth. Major industrial areas are Malaga, Kewdale, Hazelmere, Forrestfield, Bayswater, Ashfield and Bassendean. Major contributors to employment include the following sectors; Retail Trade, Health Care and Social Assistance, Transport, Postal and Warehousing and Construction.</w:t>
      </w:r>
    </w:p>
    <w:p w14:paraId="27507499" w14:textId="5C7F903F" w:rsidR="00780E3E" w:rsidRDefault="00780E3E" w:rsidP="00780E3E">
      <w:r>
        <w:t xml:space="preserve">In 1998, </w:t>
      </w:r>
      <w:r w:rsidR="007A7E61">
        <w:t>the</w:t>
      </w:r>
      <w:r>
        <w:t xml:space="preserve"> member councils approved and signed an Establishment Agreement, which replaced EMRC’s original constitution. The Establishment Agreement provides that EMRC will:</w:t>
      </w:r>
    </w:p>
    <w:p w14:paraId="5495C7D4" w14:textId="77777777" w:rsidR="00780E3E" w:rsidRDefault="00780E3E" w:rsidP="00356782">
      <w:pPr>
        <w:pStyle w:val="ListParagraph"/>
        <w:numPr>
          <w:ilvl w:val="0"/>
          <w:numId w:val="9"/>
        </w:numPr>
        <w:spacing w:before="60" w:after="60"/>
        <w:ind w:left="357" w:hanging="357"/>
        <w:contextualSpacing/>
      </w:pPr>
      <w:r>
        <w:t xml:space="preserve">Work in consultation with member Councils to facilitate local government to enhance its service delivery to the community; </w:t>
      </w:r>
    </w:p>
    <w:p w14:paraId="111FFD57" w14:textId="77777777" w:rsidR="00780E3E" w:rsidRDefault="00780E3E" w:rsidP="00356782">
      <w:pPr>
        <w:pStyle w:val="ListParagraph"/>
        <w:numPr>
          <w:ilvl w:val="0"/>
          <w:numId w:val="9"/>
        </w:numPr>
        <w:spacing w:before="60" w:after="60"/>
        <w:ind w:left="357" w:hanging="357"/>
        <w:contextualSpacing/>
      </w:pPr>
      <w:r>
        <w:t xml:space="preserve">Be efficient and effective in delivering quality services and facilities; </w:t>
      </w:r>
    </w:p>
    <w:p w14:paraId="1346A69C" w14:textId="77777777" w:rsidR="00780E3E" w:rsidRDefault="00780E3E" w:rsidP="00356782">
      <w:pPr>
        <w:pStyle w:val="ListParagraph"/>
        <w:numPr>
          <w:ilvl w:val="0"/>
          <w:numId w:val="9"/>
        </w:numPr>
        <w:spacing w:before="60" w:after="60"/>
        <w:ind w:left="357" w:hanging="357"/>
        <w:contextualSpacing/>
      </w:pPr>
      <w:r>
        <w:t xml:space="preserve">Promote and market the role of local government in the community; </w:t>
      </w:r>
    </w:p>
    <w:p w14:paraId="18726466" w14:textId="77777777" w:rsidR="00780E3E" w:rsidRDefault="00780E3E" w:rsidP="00356782">
      <w:pPr>
        <w:pStyle w:val="ListParagraph"/>
        <w:numPr>
          <w:ilvl w:val="0"/>
          <w:numId w:val="9"/>
        </w:numPr>
        <w:spacing w:before="60" w:after="60"/>
        <w:ind w:left="357" w:hanging="357"/>
        <w:contextualSpacing/>
      </w:pPr>
      <w:r>
        <w:t xml:space="preserve">Implement a strategic plan that is regularly reviewed; and </w:t>
      </w:r>
    </w:p>
    <w:p w14:paraId="5EB4136E" w14:textId="77352CDF" w:rsidR="00780E3E" w:rsidRDefault="00780E3E" w:rsidP="00780E3E">
      <w:pPr>
        <w:pStyle w:val="ListParagraph"/>
        <w:numPr>
          <w:ilvl w:val="0"/>
          <w:numId w:val="9"/>
        </w:numPr>
        <w:spacing w:before="60" w:after="60"/>
        <w:ind w:left="357" w:hanging="357"/>
        <w:contextualSpacing/>
      </w:pPr>
      <w:r>
        <w:t>Avoid providing any service or facility that adversely impacts on the services or facilities of any member Council.</w:t>
      </w:r>
    </w:p>
    <w:p w14:paraId="092CE77A" w14:textId="77777777" w:rsidR="00D860B8" w:rsidRDefault="00D860B8" w:rsidP="00D860B8">
      <w:pPr>
        <w:pStyle w:val="ListParagraph"/>
        <w:spacing w:before="60" w:after="60"/>
        <w:ind w:left="357"/>
        <w:contextualSpacing/>
      </w:pPr>
    </w:p>
    <w:p w14:paraId="3D5A3C80" w14:textId="3C047486" w:rsidR="000C6BEB" w:rsidRDefault="00780E3E" w:rsidP="00780E3E">
      <w:r>
        <w:t xml:space="preserve">EMRC is governed by a Council with equal representation from </w:t>
      </w:r>
      <w:r w:rsidR="00540EA2">
        <w:t xml:space="preserve">both </w:t>
      </w:r>
      <w:r>
        <w:t>member council</w:t>
      </w:r>
      <w:r w:rsidR="00A125DD">
        <w:t>s</w:t>
      </w:r>
      <w:r>
        <w:t xml:space="preserve">. The Council is supported by the Chief Executive Officer and </w:t>
      </w:r>
      <w:r w:rsidR="005F0493">
        <w:t xml:space="preserve">his executive team, delivering </w:t>
      </w:r>
      <w:r>
        <w:t xml:space="preserve">  waste management, environmental management, </w:t>
      </w:r>
      <w:r w:rsidR="005F0493">
        <w:t>compliance</w:t>
      </w:r>
      <w:r>
        <w:t xml:space="preserve"> and resource </w:t>
      </w:r>
      <w:proofErr w:type="gramStart"/>
      <w:r>
        <w:t>recovery</w:t>
      </w:r>
      <w:r w:rsidR="001F6BAF">
        <w:t>.</w:t>
      </w:r>
      <w:r w:rsidRPr="00D307B4">
        <w:t>.</w:t>
      </w:r>
      <w:proofErr w:type="gramEnd"/>
      <w:r w:rsidRPr="00D307B4">
        <w:t xml:space="preserve"> </w:t>
      </w:r>
    </w:p>
    <w:p w14:paraId="4E7F4D30" w14:textId="287F6843" w:rsidR="00780E3E" w:rsidRDefault="000C6BEB" w:rsidP="000C6BEB">
      <w:pPr>
        <w:spacing w:after="200" w:line="276" w:lineRule="auto"/>
        <w:jc w:val="left"/>
      </w:pPr>
      <w:r>
        <w:br w:type="page"/>
      </w:r>
    </w:p>
    <w:p w14:paraId="506AD568" w14:textId="76B42821" w:rsidR="0030464E" w:rsidRDefault="000C6BEB" w:rsidP="00356782">
      <w:pPr>
        <w:pStyle w:val="Heading2"/>
        <w:numPr>
          <w:ilvl w:val="1"/>
          <w:numId w:val="8"/>
        </w:numPr>
        <w:ind w:left="0" w:firstLine="0"/>
        <w:rPr>
          <w:noProof/>
          <w:color w:val="83AD27"/>
        </w:rPr>
      </w:pPr>
      <w:bookmarkStart w:id="4" w:name="_Toc207186089"/>
      <w:bookmarkEnd w:id="2"/>
      <w:bookmarkEnd w:id="3"/>
      <w:r>
        <w:rPr>
          <w:noProof/>
          <w:color w:val="83AD27"/>
        </w:rPr>
        <w:lastRenderedPageBreak/>
        <w:t>Vision, Mission and Values</w:t>
      </w:r>
      <w:bookmarkEnd w:id="4"/>
    </w:p>
    <w:p w14:paraId="680FDDA0" w14:textId="49CB94DC" w:rsidR="000C6BEB" w:rsidRDefault="00CB2C80" w:rsidP="000C6BEB">
      <w:r>
        <w:rPr>
          <w:noProof/>
          <w:lang w:eastAsia="en-AU"/>
        </w:rPr>
        <mc:AlternateContent>
          <mc:Choice Requires="wpg">
            <w:drawing>
              <wp:anchor distT="0" distB="0" distL="114300" distR="114300" simplePos="0" relativeHeight="251659264" behindDoc="0" locked="0" layoutInCell="1" allowOverlap="1" wp14:anchorId="0AF48F90" wp14:editId="3643D352">
                <wp:simplePos x="0" y="0"/>
                <wp:positionH relativeFrom="column">
                  <wp:posOffset>-1270</wp:posOffset>
                </wp:positionH>
                <wp:positionV relativeFrom="paragraph">
                  <wp:posOffset>558165</wp:posOffset>
                </wp:positionV>
                <wp:extent cx="6043805" cy="4413250"/>
                <wp:effectExtent l="19050" t="19050" r="33655" b="63500"/>
                <wp:wrapNone/>
                <wp:docPr id="36" name="Group 2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43805" cy="4413250"/>
                          <a:chOff x="951" y="2848"/>
                          <a:chExt cx="9758" cy="6308"/>
                        </a:xfrm>
                      </wpg:grpSpPr>
                      <wps:wsp>
                        <wps:cNvPr id="37" name="Rectangle 278"/>
                        <wps:cNvSpPr>
                          <a:spLocks noChangeArrowheads="1"/>
                        </wps:cNvSpPr>
                        <wps:spPr bwMode="auto">
                          <a:xfrm>
                            <a:off x="951" y="2848"/>
                            <a:ext cx="9750" cy="1316"/>
                          </a:xfrm>
                          <a:prstGeom prst="rect">
                            <a:avLst/>
                          </a:prstGeom>
                          <a:solidFill>
                            <a:srgbClr val="17365D"/>
                          </a:solidFill>
                          <a:ln w="38100">
                            <a:solidFill>
                              <a:srgbClr val="F2F2F2"/>
                            </a:solidFill>
                            <a:miter lim="800000"/>
                            <a:headEnd/>
                            <a:tailEnd/>
                          </a:ln>
                          <a:effectLst>
                            <a:outerShdw dist="28398" dir="3806097" algn="ctr" rotWithShape="0">
                              <a:srgbClr val="243F60">
                                <a:alpha val="50000"/>
                              </a:srgbClr>
                            </a:outerShdw>
                          </a:effectLst>
                        </wps:spPr>
                        <wps:txbx>
                          <w:txbxContent>
                            <w:p w14:paraId="35FA8852" w14:textId="002B3B76" w:rsidR="000C6BEB" w:rsidRDefault="008A45FB" w:rsidP="000C6BEB">
                              <w:pPr>
                                <w:widowControl w:val="0"/>
                                <w:jc w:val="center"/>
                                <w:rPr>
                                  <w:rFonts w:cs="Arial"/>
                                  <w:b/>
                                  <w:bCs/>
                                  <w:color w:val="FFFFFF"/>
                                </w:rPr>
                              </w:pPr>
                              <w:r>
                                <w:rPr>
                                  <w:rFonts w:cs="Arial"/>
                                  <w:b/>
                                  <w:bCs/>
                                  <w:color w:val="FFFFFF"/>
                                </w:rPr>
                                <w:t xml:space="preserve">OUR </w:t>
                              </w:r>
                              <w:r w:rsidR="000C6BEB">
                                <w:rPr>
                                  <w:rFonts w:cs="Arial"/>
                                  <w:b/>
                                  <w:bCs/>
                                  <w:color w:val="FFFFFF"/>
                                </w:rPr>
                                <w:t>VISION</w:t>
                              </w:r>
                            </w:p>
                            <w:p w14:paraId="674C8FD2" w14:textId="04112207" w:rsidR="000C6BEB" w:rsidRDefault="008A45FB" w:rsidP="000C6BEB">
                              <w:pPr>
                                <w:widowControl w:val="0"/>
                                <w:jc w:val="center"/>
                                <w:rPr>
                                  <w:rFonts w:cs="Arial"/>
                                  <w:i/>
                                  <w:iCs/>
                                  <w:color w:val="FFFFFF"/>
                                </w:rPr>
                              </w:pPr>
                              <w:r>
                                <w:rPr>
                                  <w:rFonts w:cs="Arial"/>
                                  <w:i/>
                                  <w:iCs/>
                                  <w:color w:val="FFFFFF"/>
                                </w:rPr>
                                <w:t xml:space="preserve">The </w:t>
                              </w:r>
                              <w:r w:rsidRPr="00E7084B">
                                <w:rPr>
                                  <w:rFonts w:cs="Arial"/>
                                  <w:i/>
                                  <w:iCs/>
                                  <w:color w:val="FFFFFF" w:themeColor="background1"/>
                                </w:rPr>
                                <w:t>Eastern Metropolitan Regional Council</w:t>
                              </w:r>
                              <w:r>
                                <w:rPr>
                                  <w:rFonts w:cs="Arial"/>
                                  <w:i/>
                                  <w:iCs/>
                                  <w:color w:val="FFFFFF"/>
                                </w:rPr>
                                <w:t xml:space="preserve"> </w:t>
                              </w:r>
                              <w:r w:rsidR="00CB2C80">
                                <w:rPr>
                                  <w:rFonts w:cs="Arial"/>
                                  <w:i/>
                                  <w:iCs/>
                                  <w:color w:val="FFFFFF"/>
                                </w:rPr>
                                <w:t>focus</w:t>
                              </w:r>
                              <w:r>
                                <w:rPr>
                                  <w:rFonts w:cs="Arial"/>
                                  <w:i/>
                                  <w:iCs/>
                                  <w:color w:val="FFFFFF"/>
                                </w:rPr>
                                <w:t>es</w:t>
                              </w:r>
                              <w:r w:rsidR="00CB2C80">
                                <w:rPr>
                                  <w:rFonts w:cs="Arial"/>
                                  <w:i/>
                                  <w:iCs/>
                                  <w:color w:val="FFFFFF"/>
                                </w:rPr>
                                <w:t xml:space="preserve"> on delivering waste, resource recovery and sustainability services, capitalising on its existing capabilities and infrastructure to act as </w:t>
                              </w:r>
                              <w:r>
                                <w:rPr>
                                  <w:rFonts w:cs="Arial"/>
                                  <w:i/>
                                  <w:iCs/>
                                  <w:color w:val="FFFFFF"/>
                                </w:rPr>
                                <w:t xml:space="preserve">an </w:t>
                              </w:r>
                              <w:r w:rsidR="00CB2C80">
                                <w:rPr>
                                  <w:rFonts w:cs="Arial"/>
                                  <w:i/>
                                  <w:iCs/>
                                  <w:color w:val="FFFFFF"/>
                                </w:rPr>
                                <w:t>industry leader.</w:t>
                              </w:r>
                            </w:p>
                            <w:p w14:paraId="7F3669EA" w14:textId="77777777" w:rsidR="000C6BEB" w:rsidRDefault="000C6BEB" w:rsidP="000C6BEB">
                              <w:pPr>
                                <w:widowControl w:val="0"/>
                                <w:spacing w:after="200" w:line="273" w:lineRule="auto"/>
                                <w:jc w:val="center"/>
                                <w:rPr>
                                  <w:rFonts w:ascii="Times New Roman" w:hAnsi="Times New Roman"/>
                                  <w:color w:val="000000"/>
                                  <w:sz w:val="20"/>
                                </w:rPr>
                              </w:pPr>
                              <w:r>
                                <w:t> </w:t>
                              </w:r>
                            </w:p>
                          </w:txbxContent>
                        </wps:txbx>
                        <wps:bodyPr rot="0" vert="horz" wrap="square" lIns="91440" tIns="45720" rIns="91440" bIns="45720" anchor="t" anchorCtr="0" upright="1">
                          <a:noAutofit/>
                        </wps:bodyPr>
                      </wps:wsp>
                      <wps:wsp>
                        <wps:cNvPr id="38" name="Rectangle 279"/>
                        <wps:cNvSpPr>
                          <a:spLocks noChangeArrowheads="1"/>
                        </wps:cNvSpPr>
                        <wps:spPr bwMode="auto">
                          <a:xfrm>
                            <a:off x="951" y="4253"/>
                            <a:ext cx="9750" cy="1301"/>
                          </a:xfrm>
                          <a:prstGeom prst="rect">
                            <a:avLst/>
                          </a:prstGeom>
                          <a:solidFill>
                            <a:srgbClr val="548DD4"/>
                          </a:solidFill>
                          <a:ln w="38100">
                            <a:solidFill>
                              <a:srgbClr val="F2F2F2"/>
                            </a:solidFill>
                            <a:miter lim="800000"/>
                            <a:headEnd/>
                            <a:tailEnd/>
                          </a:ln>
                          <a:effectLst>
                            <a:outerShdw dist="28398" dir="3806097" algn="ctr" rotWithShape="0">
                              <a:srgbClr val="974706">
                                <a:alpha val="50000"/>
                              </a:srgbClr>
                            </a:outerShdw>
                          </a:effectLst>
                        </wps:spPr>
                        <wps:txbx>
                          <w:txbxContent>
                            <w:p w14:paraId="658A3529" w14:textId="34BCEA00" w:rsidR="000C6BEB" w:rsidRPr="00E7084B" w:rsidRDefault="008A45FB" w:rsidP="000C6BEB">
                              <w:pPr>
                                <w:widowControl w:val="0"/>
                                <w:jc w:val="center"/>
                                <w:rPr>
                                  <w:rFonts w:cs="Arial"/>
                                  <w:b/>
                                  <w:bCs/>
                                  <w:color w:val="FFFFFF" w:themeColor="background1"/>
                                </w:rPr>
                              </w:pPr>
                              <w:r>
                                <w:rPr>
                                  <w:rFonts w:cs="Arial"/>
                                  <w:b/>
                                  <w:bCs/>
                                  <w:color w:val="FFFFFF" w:themeColor="background1"/>
                                </w:rPr>
                                <w:t xml:space="preserve">OUR </w:t>
                              </w:r>
                              <w:r w:rsidR="000C6BEB" w:rsidRPr="00E7084B">
                                <w:rPr>
                                  <w:rFonts w:cs="Arial"/>
                                  <w:b/>
                                  <w:bCs/>
                                  <w:color w:val="FFFFFF" w:themeColor="background1"/>
                                </w:rPr>
                                <w:t>MISSION</w:t>
                              </w:r>
                            </w:p>
                            <w:p w14:paraId="0226492E" w14:textId="22176555" w:rsidR="000C6BEB" w:rsidRPr="00E7084B" w:rsidRDefault="000C6BEB" w:rsidP="000C6BEB">
                              <w:pPr>
                                <w:widowControl w:val="0"/>
                                <w:spacing w:after="200" w:line="273" w:lineRule="auto"/>
                                <w:jc w:val="center"/>
                                <w:rPr>
                                  <w:rFonts w:cs="Arial"/>
                                  <w:i/>
                                  <w:iCs/>
                                  <w:color w:val="FFFFFF" w:themeColor="background1"/>
                                </w:rPr>
                              </w:pPr>
                              <w:r w:rsidRPr="00E7084B">
                                <w:rPr>
                                  <w:rFonts w:cs="Arial"/>
                                  <w:i/>
                                  <w:iCs/>
                                  <w:color w:val="FFFFFF" w:themeColor="background1"/>
                                </w:rPr>
                                <w:t xml:space="preserve">The Eastern Metropolitan Regional Council, by partnering with member councils and other stakeholders, facilitates strategies and actions for the benefit of </w:t>
                              </w:r>
                              <w:r w:rsidR="008A45FB">
                                <w:rPr>
                                  <w:rFonts w:cs="Arial"/>
                                  <w:i/>
                                  <w:iCs/>
                                  <w:color w:val="FFFFFF" w:themeColor="background1"/>
                                </w:rPr>
                                <w:t>the</w:t>
                              </w:r>
                              <w:r w:rsidRPr="00E7084B">
                                <w:rPr>
                                  <w:rFonts w:cs="Arial"/>
                                  <w:i/>
                                  <w:iCs/>
                                  <w:color w:val="FFFFFF" w:themeColor="background1"/>
                                </w:rPr>
                                <w:t xml:space="preserve"> E</w:t>
                              </w:r>
                              <w:r w:rsidR="008A45FB">
                                <w:rPr>
                                  <w:rFonts w:cs="Arial"/>
                                  <w:i/>
                                  <w:iCs/>
                                  <w:color w:val="FFFFFF" w:themeColor="background1"/>
                                </w:rPr>
                                <w:t>MRC</w:t>
                              </w:r>
                              <w:r w:rsidRPr="00E7084B">
                                <w:rPr>
                                  <w:rFonts w:cs="Arial"/>
                                  <w:i/>
                                  <w:iCs/>
                                  <w:color w:val="FFFFFF" w:themeColor="background1"/>
                                </w:rPr>
                                <w:t xml:space="preserve"> Region.</w:t>
                              </w:r>
                            </w:p>
                          </w:txbxContent>
                        </wps:txbx>
                        <wps:bodyPr rot="0" vert="horz" wrap="square" lIns="91440" tIns="45720" rIns="91440" bIns="45720" anchor="t" anchorCtr="0" upright="1">
                          <a:noAutofit/>
                        </wps:bodyPr>
                      </wps:wsp>
                      <wps:wsp>
                        <wps:cNvPr id="39" name="Rectangle 280"/>
                        <wps:cNvSpPr>
                          <a:spLocks noChangeArrowheads="1"/>
                        </wps:cNvSpPr>
                        <wps:spPr bwMode="auto">
                          <a:xfrm>
                            <a:off x="959" y="5684"/>
                            <a:ext cx="9750" cy="3472"/>
                          </a:xfrm>
                          <a:prstGeom prst="rect">
                            <a:avLst/>
                          </a:prstGeom>
                          <a:solidFill>
                            <a:srgbClr val="DBE5F1"/>
                          </a:solidFill>
                          <a:ln w="38100">
                            <a:solidFill>
                              <a:srgbClr val="F2F2F2"/>
                            </a:solidFill>
                            <a:miter lim="800000"/>
                            <a:headEnd/>
                            <a:tailEnd/>
                          </a:ln>
                          <a:effectLst>
                            <a:outerShdw dist="28398" dir="3806097" algn="ctr" rotWithShape="0">
                              <a:srgbClr val="3F3151">
                                <a:alpha val="50000"/>
                              </a:srgbClr>
                            </a:outerShdw>
                          </a:effectLst>
                        </wps:spPr>
                        <wps:txbx>
                          <w:txbxContent>
                            <w:p w14:paraId="11D210AD" w14:textId="62CF5E53" w:rsidR="000C6BEB" w:rsidRDefault="008A45FB" w:rsidP="000C6BEB">
                              <w:pPr>
                                <w:widowControl w:val="0"/>
                                <w:jc w:val="center"/>
                                <w:rPr>
                                  <w:rFonts w:cs="Arial"/>
                                  <w:b/>
                                  <w:bCs/>
                                </w:rPr>
                              </w:pPr>
                              <w:r>
                                <w:rPr>
                                  <w:rFonts w:cs="Arial"/>
                                  <w:b/>
                                  <w:bCs/>
                                </w:rPr>
                                <w:t>OUR</w:t>
                              </w:r>
                              <w:r w:rsidR="000C6BEB">
                                <w:rPr>
                                  <w:rFonts w:cs="Arial"/>
                                  <w:b/>
                                  <w:bCs/>
                                </w:rPr>
                                <w:t xml:space="preserve"> VALUES</w:t>
                              </w:r>
                            </w:p>
                            <w:p w14:paraId="42D681B6" w14:textId="13B9754F" w:rsidR="000C6BEB" w:rsidRDefault="000C6BEB" w:rsidP="000C6BEB">
                              <w:pPr>
                                <w:widowControl w:val="0"/>
                                <w:spacing w:line="360" w:lineRule="auto"/>
                                <w:jc w:val="center"/>
                                <w:rPr>
                                  <w:rFonts w:cs="Arial"/>
                                  <w:i/>
                                  <w:iCs/>
                                </w:rPr>
                              </w:pPr>
                              <w:r>
                                <w:rPr>
                                  <w:rFonts w:cs="Arial"/>
                                  <w:i/>
                                  <w:iCs/>
                                </w:rPr>
                                <w:t xml:space="preserve">The values </w:t>
                              </w:r>
                              <w:r w:rsidR="008A45FB">
                                <w:rPr>
                                  <w:rFonts w:cs="Arial"/>
                                  <w:i/>
                                  <w:iCs/>
                                </w:rPr>
                                <w:t>that govern the EMRC are:</w:t>
                              </w:r>
                            </w:p>
                            <w:tbl>
                              <w:tblPr>
                                <w:tblW w:w="9180" w:type="dxa"/>
                                <w:tblCellMar>
                                  <w:left w:w="0" w:type="dxa"/>
                                  <w:right w:w="0" w:type="dxa"/>
                                </w:tblCellMar>
                                <w:tblLook w:val="04A0" w:firstRow="1" w:lastRow="0" w:firstColumn="1" w:lastColumn="0" w:noHBand="0" w:noVBand="1"/>
                              </w:tblPr>
                              <w:tblGrid>
                                <w:gridCol w:w="2518"/>
                                <w:gridCol w:w="6662"/>
                              </w:tblGrid>
                              <w:tr w:rsidR="000C6BEB" w14:paraId="6020F0B2" w14:textId="77777777">
                                <w:trPr>
                                  <w:trHeight w:val="460"/>
                                </w:trPr>
                                <w:tc>
                                  <w:tcPr>
                                    <w:tcW w:w="2518" w:type="dxa"/>
                                    <w:tcMar>
                                      <w:top w:w="0" w:type="dxa"/>
                                      <w:left w:w="108" w:type="dxa"/>
                                      <w:bottom w:w="0" w:type="dxa"/>
                                      <w:right w:w="108" w:type="dxa"/>
                                    </w:tcMar>
                                    <w:hideMark/>
                                  </w:tcPr>
                                  <w:p w14:paraId="3A3AEAD3" w14:textId="77777777" w:rsidR="000C6BEB" w:rsidRDefault="000C6BEB">
                                    <w:pPr>
                                      <w:widowControl w:val="0"/>
                                      <w:rPr>
                                        <w:rFonts w:cs="Arial"/>
                                        <w:color w:val="000000"/>
                                        <w:kern w:val="28"/>
                                      </w:rPr>
                                    </w:pPr>
                                    <w:r>
                                      <w:rPr>
                                        <w:rFonts w:cs="Arial"/>
                                        <w:b/>
                                        <w:bCs/>
                                      </w:rPr>
                                      <w:t>Excellence:</w:t>
                                    </w:r>
                                  </w:p>
                                </w:tc>
                                <w:tc>
                                  <w:tcPr>
                                    <w:tcW w:w="6662" w:type="dxa"/>
                                    <w:tcMar>
                                      <w:top w:w="0" w:type="dxa"/>
                                      <w:left w:w="108" w:type="dxa"/>
                                      <w:bottom w:w="0" w:type="dxa"/>
                                      <w:right w:w="108" w:type="dxa"/>
                                    </w:tcMar>
                                    <w:hideMark/>
                                  </w:tcPr>
                                  <w:p w14:paraId="014F73FA" w14:textId="64E94D7A" w:rsidR="000C6BEB" w:rsidRDefault="000C6BEB">
                                    <w:pPr>
                                      <w:widowControl w:val="0"/>
                                      <w:spacing w:after="120"/>
                                      <w:rPr>
                                        <w:rFonts w:cs="Arial"/>
                                        <w:color w:val="000000"/>
                                        <w:kern w:val="28"/>
                                        <w:lang w:val="en-US"/>
                                      </w:rPr>
                                    </w:pPr>
                                    <w:r>
                                      <w:rPr>
                                        <w:rFonts w:cs="Arial"/>
                                        <w:i/>
                                        <w:iCs/>
                                        <w:lang w:val="en-US"/>
                                      </w:rPr>
                                      <w:t>Striving for excellence through the development of quality and</w:t>
                                    </w:r>
                                    <w:r w:rsidR="008A45FB">
                                      <w:rPr>
                                        <w:rFonts w:cs="Arial"/>
                                        <w:i/>
                                        <w:iCs/>
                                        <w:lang w:val="en-US"/>
                                      </w:rPr>
                                      <w:t xml:space="preserve"> </w:t>
                                    </w:r>
                                    <w:r>
                                      <w:rPr>
                                        <w:rFonts w:cs="Arial"/>
                                        <w:i/>
                                        <w:iCs/>
                                        <w:lang w:val="en-US"/>
                                      </w:rPr>
                                      <w:t>continuous improvement.</w:t>
                                    </w:r>
                                  </w:p>
                                </w:tc>
                              </w:tr>
                              <w:tr w:rsidR="000C6BEB" w14:paraId="4C4E9CAD" w14:textId="77777777">
                                <w:trPr>
                                  <w:trHeight w:val="366"/>
                                </w:trPr>
                                <w:tc>
                                  <w:tcPr>
                                    <w:tcW w:w="2518" w:type="dxa"/>
                                    <w:tcMar>
                                      <w:top w:w="0" w:type="dxa"/>
                                      <w:left w:w="108" w:type="dxa"/>
                                      <w:bottom w:w="0" w:type="dxa"/>
                                      <w:right w:w="108" w:type="dxa"/>
                                    </w:tcMar>
                                    <w:hideMark/>
                                  </w:tcPr>
                                  <w:p w14:paraId="6ABEC351" w14:textId="77777777" w:rsidR="000C6BEB" w:rsidRDefault="000C6BEB">
                                    <w:pPr>
                                      <w:widowControl w:val="0"/>
                                      <w:rPr>
                                        <w:rFonts w:cs="Arial"/>
                                        <w:color w:val="000000"/>
                                        <w:kern w:val="28"/>
                                      </w:rPr>
                                    </w:pPr>
                                    <w:r>
                                      <w:rPr>
                                        <w:rFonts w:cs="Arial"/>
                                        <w:b/>
                                        <w:bCs/>
                                      </w:rPr>
                                      <w:t>Recognition:</w:t>
                                    </w:r>
                                  </w:p>
                                </w:tc>
                                <w:tc>
                                  <w:tcPr>
                                    <w:tcW w:w="6662" w:type="dxa"/>
                                    <w:tcMar>
                                      <w:top w:w="0" w:type="dxa"/>
                                      <w:left w:w="108" w:type="dxa"/>
                                      <w:bottom w:w="0" w:type="dxa"/>
                                      <w:right w:w="108" w:type="dxa"/>
                                    </w:tcMar>
                                    <w:hideMark/>
                                  </w:tcPr>
                                  <w:p w14:paraId="3357D9E3" w14:textId="77777777" w:rsidR="000C6BEB" w:rsidRDefault="000C6BEB">
                                    <w:pPr>
                                      <w:widowControl w:val="0"/>
                                      <w:spacing w:after="120"/>
                                      <w:rPr>
                                        <w:rFonts w:cs="Arial"/>
                                        <w:color w:val="000000"/>
                                        <w:kern w:val="28"/>
                                        <w:lang w:val="en-US"/>
                                      </w:rPr>
                                    </w:pPr>
                                    <w:r>
                                      <w:rPr>
                                        <w:rFonts w:cs="Arial"/>
                                        <w:i/>
                                        <w:iCs/>
                                        <w:lang w:val="en-US"/>
                                      </w:rPr>
                                      <w:t>Valuing staff in a supportive environment that focuses on their wellbeing.</w:t>
                                    </w:r>
                                  </w:p>
                                </w:tc>
                              </w:tr>
                              <w:tr w:rsidR="000C6BEB" w14:paraId="5D0F0EF6" w14:textId="77777777">
                                <w:trPr>
                                  <w:trHeight w:val="366"/>
                                </w:trPr>
                                <w:tc>
                                  <w:tcPr>
                                    <w:tcW w:w="2518" w:type="dxa"/>
                                    <w:tcMar>
                                      <w:top w:w="0" w:type="dxa"/>
                                      <w:left w:w="108" w:type="dxa"/>
                                      <w:bottom w:w="0" w:type="dxa"/>
                                      <w:right w:w="108" w:type="dxa"/>
                                    </w:tcMar>
                                    <w:hideMark/>
                                  </w:tcPr>
                                  <w:p w14:paraId="7EDD7010" w14:textId="77777777" w:rsidR="000C6BEB" w:rsidRDefault="000C6BEB">
                                    <w:pPr>
                                      <w:widowControl w:val="0"/>
                                      <w:rPr>
                                        <w:rFonts w:cs="Arial"/>
                                        <w:color w:val="000000"/>
                                        <w:kern w:val="28"/>
                                      </w:rPr>
                                    </w:pPr>
                                    <w:r>
                                      <w:rPr>
                                        <w:rFonts w:cs="Arial"/>
                                        <w:b/>
                                        <w:bCs/>
                                      </w:rPr>
                                      <w:t>Innovation:</w:t>
                                    </w:r>
                                  </w:p>
                                </w:tc>
                                <w:tc>
                                  <w:tcPr>
                                    <w:tcW w:w="6662" w:type="dxa"/>
                                    <w:tcMar>
                                      <w:top w:w="0" w:type="dxa"/>
                                      <w:left w:w="108" w:type="dxa"/>
                                      <w:bottom w:w="0" w:type="dxa"/>
                                      <w:right w:w="108" w:type="dxa"/>
                                    </w:tcMar>
                                    <w:hideMark/>
                                  </w:tcPr>
                                  <w:p w14:paraId="10210024" w14:textId="77777777" w:rsidR="000C6BEB" w:rsidRDefault="000C6BEB">
                                    <w:pPr>
                                      <w:widowControl w:val="0"/>
                                      <w:spacing w:after="120"/>
                                      <w:rPr>
                                        <w:rFonts w:cs="Arial"/>
                                        <w:color w:val="000000"/>
                                        <w:kern w:val="28"/>
                                        <w:lang w:val="en-US"/>
                                      </w:rPr>
                                    </w:pPr>
                                    <w:r>
                                      <w:rPr>
                                        <w:rFonts w:cs="Arial"/>
                                        <w:i/>
                                        <w:iCs/>
                                        <w:lang w:val="en-US"/>
                                      </w:rPr>
                                      <w:t>Focus on innovative approaches in projects and service delivery.</w:t>
                                    </w:r>
                                  </w:p>
                                </w:tc>
                              </w:tr>
                              <w:tr w:rsidR="000C6BEB" w14:paraId="31898C6C" w14:textId="77777777">
                                <w:trPr>
                                  <w:trHeight w:val="366"/>
                                </w:trPr>
                                <w:tc>
                                  <w:tcPr>
                                    <w:tcW w:w="2518" w:type="dxa"/>
                                    <w:tcMar>
                                      <w:top w:w="0" w:type="dxa"/>
                                      <w:left w:w="108" w:type="dxa"/>
                                      <w:bottom w:w="0" w:type="dxa"/>
                                      <w:right w:w="108" w:type="dxa"/>
                                    </w:tcMar>
                                    <w:hideMark/>
                                  </w:tcPr>
                                  <w:p w14:paraId="25BDE1D0" w14:textId="77777777" w:rsidR="000C6BEB" w:rsidRDefault="000C6BEB">
                                    <w:pPr>
                                      <w:widowControl w:val="0"/>
                                      <w:rPr>
                                        <w:rFonts w:cs="Arial"/>
                                        <w:color w:val="000000"/>
                                        <w:kern w:val="28"/>
                                      </w:rPr>
                                    </w:pPr>
                                    <w:r>
                                      <w:rPr>
                                        <w:rFonts w:cs="Arial"/>
                                        <w:b/>
                                        <w:bCs/>
                                      </w:rPr>
                                      <w:t>Responsiveness:</w:t>
                                    </w:r>
                                  </w:p>
                                </w:tc>
                                <w:tc>
                                  <w:tcPr>
                                    <w:tcW w:w="6662" w:type="dxa"/>
                                    <w:tcMar>
                                      <w:top w:w="0" w:type="dxa"/>
                                      <w:left w:w="108" w:type="dxa"/>
                                      <w:bottom w:w="0" w:type="dxa"/>
                                      <w:right w:w="108" w:type="dxa"/>
                                    </w:tcMar>
                                    <w:hideMark/>
                                  </w:tcPr>
                                  <w:p w14:paraId="499FF8B8" w14:textId="77777777" w:rsidR="000C6BEB" w:rsidRDefault="000C6BEB">
                                    <w:pPr>
                                      <w:widowControl w:val="0"/>
                                      <w:spacing w:after="120"/>
                                      <w:rPr>
                                        <w:rFonts w:cs="Arial"/>
                                        <w:i/>
                                        <w:iCs/>
                                        <w:lang w:val="en-US"/>
                                      </w:rPr>
                                    </w:pPr>
                                    <w:r>
                                      <w:rPr>
                                        <w:rFonts w:cs="Arial"/>
                                        <w:i/>
                                        <w:iCs/>
                                        <w:lang w:val="en-US"/>
                                      </w:rPr>
                                      <w:t>Dynamic and flexible service delivery.</w:t>
                                    </w:r>
                                  </w:p>
                                  <w:p w14:paraId="008CB85E" w14:textId="77777777" w:rsidR="008A45FB" w:rsidRDefault="008A45FB">
                                    <w:pPr>
                                      <w:widowControl w:val="0"/>
                                      <w:spacing w:after="120"/>
                                      <w:rPr>
                                        <w:rFonts w:cs="Arial"/>
                                        <w:color w:val="000000"/>
                                        <w:kern w:val="28"/>
                                        <w:lang w:val="en-US"/>
                                      </w:rPr>
                                    </w:pPr>
                                  </w:p>
                                </w:tc>
                              </w:tr>
                              <w:tr w:rsidR="000C6BEB" w14:paraId="675EF67D" w14:textId="77777777">
                                <w:trPr>
                                  <w:trHeight w:val="366"/>
                                </w:trPr>
                                <w:tc>
                                  <w:tcPr>
                                    <w:tcW w:w="2518" w:type="dxa"/>
                                    <w:tcMar>
                                      <w:top w:w="0" w:type="dxa"/>
                                      <w:left w:w="108" w:type="dxa"/>
                                      <w:bottom w:w="0" w:type="dxa"/>
                                      <w:right w:w="108" w:type="dxa"/>
                                    </w:tcMar>
                                    <w:hideMark/>
                                  </w:tcPr>
                                  <w:p w14:paraId="04DCCD67" w14:textId="77777777" w:rsidR="000C6BEB" w:rsidRDefault="000C6BEB">
                                    <w:pPr>
                                      <w:widowControl w:val="0"/>
                                      <w:rPr>
                                        <w:rFonts w:cs="Arial"/>
                                        <w:color w:val="000000"/>
                                        <w:kern w:val="28"/>
                                      </w:rPr>
                                    </w:pPr>
                                    <w:r>
                                      <w:rPr>
                                        <w:rFonts w:cs="Arial"/>
                                        <w:b/>
                                        <w:bCs/>
                                      </w:rPr>
                                      <w:t>Integrity:</w:t>
                                    </w:r>
                                  </w:p>
                                </w:tc>
                                <w:tc>
                                  <w:tcPr>
                                    <w:tcW w:w="6662" w:type="dxa"/>
                                    <w:tcMar>
                                      <w:top w:w="0" w:type="dxa"/>
                                      <w:left w:w="108" w:type="dxa"/>
                                      <w:bottom w:w="0" w:type="dxa"/>
                                      <w:right w:w="108" w:type="dxa"/>
                                    </w:tcMar>
                                    <w:hideMark/>
                                  </w:tcPr>
                                  <w:p w14:paraId="25C08FF2" w14:textId="77777777" w:rsidR="000C6BEB" w:rsidRDefault="000C6BEB">
                                    <w:pPr>
                                      <w:widowControl w:val="0"/>
                                      <w:spacing w:after="120" w:line="273" w:lineRule="auto"/>
                                      <w:rPr>
                                        <w:rFonts w:cs="Arial"/>
                                        <w:color w:val="000000"/>
                                        <w:kern w:val="28"/>
                                        <w:lang w:val="en-US"/>
                                      </w:rPr>
                                    </w:pPr>
                                    <w:r>
                                      <w:rPr>
                                        <w:rFonts w:cs="Arial"/>
                                        <w:i/>
                                        <w:iCs/>
                                        <w:lang w:val="en-US"/>
                                      </w:rPr>
                                      <w:t>Accountability and consistency in all that we do.</w:t>
                                    </w:r>
                                  </w:p>
                                </w:tc>
                              </w:tr>
                            </w:tbl>
                            <w:p w14:paraId="41230B1D" w14:textId="77777777" w:rsidR="000C6BEB" w:rsidRDefault="000C6BEB" w:rsidP="000C6BEB">
                              <w:pPr>
                                <w:widowControl w:val="0"/>
                                <w:spacing w:after="280"/>
                                <w:rPr>
                                  <w:rFonts w:cs="Arial"/>
                                </w:rPr>
                              </w:pPr>
                            </w:p>
                            <w:p w14:paraId="786E36B1" w14:textId="77777777" w:rsidR="000C6BEB" w:rsidRDefault="000C6BEB" w:rsidP="000C6BEB">
                              <w:pPr>
                                <w:widowControl w:val="0"/>
                                <w:spacing w:after="200" w:line="360" w:lineRule="auto"/>
                                <w:rPr>
                                  <w:rFonts w:ascii="Times New Roman" w:hAnsi="Times New Roman"/>
                                  <w:sz w:val="20"/>
                                </w:rPr>
                              </w:pPr>
                              <w:r>
                                <w:t>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F48F90" id="Group 277" o:spid="_x0000_s1026" style="position:absolute;left:0;text-align:left;margin-left:-.1pt;margin-top:43.95pt;width:475.9pt;height:347.5pt;z-index:251659264" coordorigin="951,2848" coordsize="9758,63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">
                <v:rect id="Rectangle 278" o:spid="_x0000_s1027" style="position:absolute;left:951;top:2848;width:9750;height:1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" fillcolor="#17365d" strokecolor="#f2f2f2" strokeweight="3pt">
                  <v:shadow on="t" color="#243f60" opacity=".5" offset="1pt"/>
                  <v:textbox>
                    <w:txbxContent>
                      <w:p w14:paraId="35FA8852" w14:textId="002B3B76" w:rsidR="000C6BEB" w:rsidRDefault="008A45FB" w:rsidP="000C6BEB">
                        <w:pPr>
                          <w:widowControl w:val="0"/>
                          <w:jc w:val="center"/>
                          <w:rPr>
                            <w:rFonts w:cs="Arial"/>
                            <w:b/>
                            <w:bCs/>
                            <w:color w:val="FFFFFF"/>
                          </w:rPr>
                        </w:pPr>
                        <w:r>
                          <w:rPr>
                            <w:rFonts w:cs="Arial"/>
                            <w:b/>
                            <w:bCs/>
                            <w:color w:val="FFFFFF"/>
                          </w:rPr>
                          <w:t xml:space="preserve">OUR </w:t>
                        </w:r>
                        <w:r w:rsidR="000C6BEB">
                          <w:rPr>
                            <w:rFonts w:cs="Arial"/>
                            <w:b/>
                            <w:bCs/>
                            <w:color w:val="FFFFFF"/>
                          </w:rPr>
                          <w:t>VISION</w:t>
                        </w:r>
                      </w:p>
                      <w:p w14:paraId="674C8FD2" w14:textId="04112207" w:rsidR="000C6BEB" w:rsidRDefault="008A45FB" w:rsidP="000C6BEB">
                        <w:pPr>
                          <w:widowControl w:val="0"/>
                          <w:jc w:val="center"/>
                          <w:rPr>
                            <w:rFonts w:cs="Arial"/>
                            <w:i/>
                            <w:iCs/>
                            <w:color w:val="FFFFFF"/>
                          </w:rPr>
                        </w:pPr>
                        <w:r>
                          <w:rPr>
                            <w:rFonts w:cs="Arial"/>
                            <w:i/>
                            <w:iCs/>
                            <w:color w:val="FFFFFF"/>
                          </w:rPr>
                          <w:t xml:space="preserve">The </w:t>
                        </w:r>
                        <w:r w:rsidRPr="00E7084B">
                          <w:rPr>
                            <w:rFonts w:cs="Arial"/>
                            <w:i/>
                            <w:iCs/>
                            <w:color w:val="FFFFFF" w:themeColor="background1"/>
                          </w:rPr>
                          <w:t>Eastern Metropolitan Regional Council</w:t>
                        </w:r>
                        <w:r>
                          <w:rPr>
                            <w:rFonts w:cs="Arial"/>
                            <w:i/>
                            <w:iCs/>
                            <w:color w:val="FFFFFF"/>
                          </w:rPr>
                          <w:t xml:space="preserve"> </w:t>
                        </w:r>
                        <w:r w:rsidR="00CB2C80">
                          <w:rPr>
                            <w:rFonts w:cs="Arial"/>
                            <w:i/>
                            <w:iCs/>
                            <w:color w:val="FFFFFF"/>
                          </w:rPr>
                          <w:t>focus</w:t>
                        </w:r>
                        <w:r>
                          <w:rPr>
                            <w:rFonts w:cs="Arial"/>
                            <w:i/>
                            <w:iCs/>
                            <w:color w:val="FFFFFF"/>
                          </w:rPr>
                          <w:t>es</w:t>
                        </w:r>
                        <w:r w:rsidR="00CB2C80">
                          <w:rPr>
                            <w:rFonts w:cs="Arial"/>
                            <w:i/>
                            <w:iCs/>
                            <w:color w:val="FFFFFF"/>
                          </w:rPr>
                          <w:t xml:space="preserve"> on delivering waste, resource recovery and sustainability services, capitalising on its existing capabilities and infrastructure to act as </w:t>
                        </w:r>
                        <w:r>
                          <w:rPr>
                            <w:rFonts w:cs="Arial"/>
                            <w:i/>
                            <w:iCs/>
                            <w:color w:val="FFFFFF"/>
                          </w:rPr>
                          <w:t xml:space="preserve">an </w:t>
                        </w:r>
                        <w:r w:rsidR="00CB2C80">
                          <w:rPr>
                            <w:rFonts w:cs="Arial"/>
                            <w:i/>
                            <w:iCs/>
                            <w:color w:val="FFFFFF"/>
                          </w:rPr>
                          <w:t>industry leader.</w:t>
                        </w:r>
                      </w:p>
                      <w:p w14:paraId="7F3669EA" w14:textId="77777777" w:rsidR="000C6BEB" w:rsidRDefault="000C6BEB" w:rsidP="000C6BEB">
                        <w:pPr>
                          <w:widowControl w:val="0"/>
                          <w:spacing w:after="200" w:line="273" w:lineRule="auto"/>
                          <w:jc w:val="center"/>
                          <w:rPr>
                            <w:rFonts w:ascii="Times New Roman" w:hAnsi="Times New Roman"/>
                            <w:color w:val="000000"/>
                            <w:sz w:val="20"/>
                          </w:rPr>
                        </w:pPr>
                        <w:r>
                          <w:t> </w:t>
                        </w:r>
                      </w:p>
                    </w:txbxContent>
                  </v:textbox>
                </v:rect>
                <v:rect id="Rectangle 279" o:spid="_x0000_s1028" style="position:absolute;left:951;top:4253;width:9750;height:1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" fillcolor="#548dd4" strokecolor="#f2f2f2" strokeweight="3pt">
                  <v:shadow on="t" color="#974706" opacity=".5" offset="1pt"/>
                  <v:textbox>
                    <w:txbxContent>
                      <w:p w14:paraId="658A3529" w14:textId="34BCEA00" w:rsidR="000C6BEB" w:rsidRPr="00E7084B" w:rsidRDefault="008A45FB" w:rsidP="000C6BEB">
                        <w:pPr>
                          <w:widowControl w:val="0"/>
                          <w:jc w:val="center"/>
                          <w:rPr>
                            <w:rFonts w:cs="Arial"/>
                            <w:b/>
                            <w:bCs/>
                            <w:color w:val="FFFFFF" w:themeColor="background1"/>
                          </w:rPr>
                        </w:pPr>
                        <w:r>
                          <w:rPr>
                            <w:rFonts w:cs="Arial"/>
                            <w:b/>
                            <w:bCs/>
                            <w:color w:val="FFFFFF" w:themeColor="background1"/>
                          </w:rPr>
                          <w:t xml:space="preserve">OUR </w:t>
                        </w:r>
                        <w:r w:rsidR="000C6BEB" w:rsidRPr="00E7084B">
                          <w:rPr>
                            <w:rFonts w:cs="Arial"/>
                            <w:b/>
                            <w:bCs/>
                            <w:color w:val="FFFFFF" w:themeColor="background1"/>
                          </w:rPr>
                          <w:t>MISSION</w:t>
                        </w:r>
                      </w:p>
                      <w:p w14:paraId="0226492E" w14:textId="22176555" w:rsidR="000C6BEB" w:rsidRPr="00E7084B" w:rsidRDefault="000C6BEB" w:rsidP="000C6BEB">
                        <w:pPr>
                          <w:widowControl w:val="0"/>
                          <w:spacing w:after="200" w:line="273" w:lineRule="auto"/>
                          <w:jc w:val="center"/>
                          <w:rPr>
                            <w:rFonts w:cs="Arial"/>
                            <w:i/>
                            <w:iCs/>
                            <w:color w:val="FFFFFF" w:themeColor="background1"/>
                          </w:rPr>
                        </w:pPr>
                        <w:r w:rsidRPr="00E7084B">
                          <w:rPr>
                            <w:rFonts w:cs="Arial"/>
                            <w:i/>
                            <w:iCs/>
                            <w:color w:val="FFFFFF" w:themeColor="background1"/>
                          </w:rPr>
                          <w:t xml:space="preserve">The Eastern Metropolitan Regional Council, by partnering with member councils and other stakeholders, facilitates strategies and actions for the benefit of </w:t>
                        </w:r>
                        <w:r w:rsidR="008A45FB">
                          <w:rPr>
                            <w:rFonts w:cs="Arial"/>
                            <w:i/>
                            <w:iCs/>
                            <w:color w:val="FFFFFF" w:themeColor="background1"/>
                          </w:rPr>
                          <w:t>the</w:t>
                        </w:r>
                        <w:r w:rsidRPr="00E7084B">
                          <w:rPr>
                            <w:rFonts w:cs="Arial"/>
                            <w:i/>
                            <w:iCs/>
                            <w:color w:val="FFFFFF" w:themeColor="background1"/>
                          </w:rPr>
                          <w:t xml:space="preserve"> E</w:t>
                        </w:r>
                        <w:r w:rsidR="008A45FB">
                          <w:rPr>
                            <w:rFonts w:cs="Arial"/>
                            <w:i/>
                            <w:iCs/>
                            <w:color w:val="FFFFFF" w:themeColor="background1"/>
                          </w:rPr>
                          <w:t>MRC</w:t>
                        </w:r>
                        <w:r w:rsidRPr="00E7084B">
                          <w:rPr>
                            <w:rFonts w:cs="Arial"/>
                            <w:i/>
                            <w:iCs/>
                            <w:color w:val="FFFFFF" w:themeColor="background1"/>
                          </w:rPr>
                          <w:t xml:space="preserve"> Region.</w:t>
                        </w:r>
                      </w:p>
                    </w:txbxContent>
                  </v:textbox>
                </v:rect>
                <v:rect id="Rectangle 280" o:spid="_x0000_s1029" style="position:absolute;left:959;top:5684;width:9750;height:34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" fillcolor="#dbe5f1" strokecolor="#f2f2f2" strokeweight="3pt">
                  <v:shadow on="t" color="#3f3151" opacity=".5" offset="1pt"/>
                  <v:textbox>
                    <w:txbxContent>
                      <w:p w14:paraId="11D210AD" w14:textId="62CF5E53" w:rsidR="000C6BEB" w:rsidRDefault="008A45FB" w:rsidP="000C6BEB">
                        <w:pPr>
                          <w:widowControl w:val="0"/>
                          <w:jc w:val="center"/>
                          <w:rPr>
                            <w:rFonts w:cs="Arial"/>
                            <w:b/>
                            <w:bCs/>
                          </w:rPr>
                        </w:pPr>
                        <w:r>
                          <w:rPr>
                            <w:rFonts w:cs="Arial"/>
                            <w:b/>
                            <w:bCs/>
                          </w:rPr>
                          <w:t>OUR</w:t>
                        </w:r>
                        <w:r w:rsidR="000C6BEB">
                          <w:rPr>
                            <w:rFonts w:cs="Arial"/>
                            <w:b/>
                            <w:bCs/>
                          </w:rPr>
                          <w:t xml:space="preserve"> VALUES</w:t>
                        </w:r>
                      </w:p>
                      <w:p w14:paraId="42D681B6" w14:textId="13B9754F" w:rsidR="000C6BEB" w:rsidRDefault="000C6BEB" w:rsidP="000C6BEB">
                        <w:pPr>
                          <w:widowControl w:val="0"/>
                          <w:spacing w:line="360" w:lineRule="auto"/>
                          <w:jc w:val="center"/>
                          <w:rPr>
                            <w:rFonts w:cs="Arial"/>
                            <w:i/>
                            <w:iCs/>
                          </w:rPr>
                        </w:pPr>
                        <w:r>
                          <w:rPr>
                            <w:rFonts w:cs="Arial"/>
                            <w:i/>
                            <w:iCs/>
                          </w:rPr>
                          <w:t xml:space="preserve">The values </w:t>
                        </w:r>
                        <w:r w:rsidR="008A45FB">
                          <w:rPr>
                            <w:rFonts w:cs="Arial"/>
                            <w:i/>
                            <w:iCs/>
                          </w:rPr>
                          <w:t>that govern the EMRC are:</w:t>
                        </w:r>
                      </w:p>
                      <w:tbl>
                        <w:tblPr>
                          <w:tblW w:w="9180" w:type="dxa"/>
                          <w:tblCellMar>
                            <w:left w:w="0" w:type="dxa"/>
                            <w:right w:w="0" w:type="dxa"/>
                          </w:tblCellMar>
                          <w:tblLook w:val="04A0" w:firstRow="1" w:lastRow="0" w:firstColumn="1" w:lastColumn="0" w:noHBand="0" w:noVBand="1"/>
                        </w:tblPr>
                        <w:tblGrid>
                          <w:gridCol w:w="2518"/>
                          <w:gridCol w:w="6662"/>
                        </w:tblGrid>
                        <w:tr w:rsidR="000C6BEB" w14:paraId="6020F0B2" w14:textId="77777777">
                          <w:trPr>
                            <w:trHeight w:val="460"/>
                          </w:trPr>
                          <w:tc>
                            <w:tcPr>
                              <w:tcW w:w="2518" w:type="dxa"/>
                              <w:tcMar>
                                <w:top w:w="0" w:type="dxa"/>
                                <w:left w:w="108" w:type="dxa"/>
                                <w:bottom w:w="0" w:type="dxa"/>
                                <w:right w:w="108" w:type="dxa"/>
                              </w:tcMar>
                              <w:hideMark/>
                            </w:tcPr>
                            <w:p w14:paraId="3A3AEAD3" w14:textId="77777777" w:rsidR="000C6BEB" w:rsidRDefault="000C6BEB">
                              <w:pPr>
                                <w:widowControl w:val="0"/>
                                <w:rPr>
                                  <w:rFonts w:cs="Arial"/>
                                  <w:color w:val="000000"/>
                                  <w:kern w:val="28"/>
                                </w:rPr>
                              </w:pPr>
                              <w:r>
                                <w:rPr>
                                  <w:rFonts w:cs="Arial"/>
                                  <w:b/>
                                  <w:bCs/>
                                </w:rPr>
                                <w:t>Excellence:</w:t>
                              </w:r>
                            </w:p>
                          </w:tc>
                          <w:tc>
                            <w:tcPr>
                              <w:tcW w:w="6662" w:type="dxa"/>
                              <w:tcMar>
                                <w:top w:w="0" w:type="dxa"/>
                                <w:left w:w="108" w:type="dxa"/>
                                <w:bottom w:w="0" w:type="dxa"/>
                                <w:right w:w="108" w:type="dxa"/>
                              </w:tcMar>
                              <w:hideMark/>
                            </w:tcPr>
                            <w:p w14:paraId="014F73FA" w14:textId="64E94D7A" w:rsidR="000C6BEB" w:rsidRDefault="000C6BEB">
                              <w:pPr>
                                <w:widowControl w:val="0"/>
                                <w:spacing w:after="120"/>
                                <w:rPr>
                                  <w:rFonts w:cs="Arial"/>
                                  <w:color w:val="000000"/>
                                  <w:kern w:val="28"/>
                                  <w:lang w:val="en-US"/>
                                </w:rPr>
                              </w:pPr>
                              <w:r>
                                <w:rPr>
                                  <w:rFonts w:cs="Arial"/>
                                  <w:i/>
                                  <w:iCs/>
                                  <w:lang w:val="en-US"/>
                                </w:rPr>
                                <w:t>Striving for excellence through the development of quality and</w:t>
                              </w:r>
                              <w:r w:rsidR="008A45FB">
                                <w:rPr>
                                  <w:rFonts w:cs="Arial"/>
                                  <w:i/>
                                  <w:iCs/>
                                  <w:lang w:val="en-US"/>
                                </w:rPr>
                                <w:t xml:space="preserve"> </w:t>
                              </w:r>
                              <w:r>
                                <w:rPr>
                                  <w:rFonts w:cs="Arial"/>
                                  <w:i/>
                                  <w:iCs/>
                                  <w:lang w:val="en-US"/>
                                </w:rPr>
                                <w:t>continuous improvement.</w:t>
                              </w:r>
                            </w:p>
                          </w:tc>
                        </w:tr>
                        <w:tr w:rsidR="000C6BEB" w14:paraId="4C4E9CAD" w14:textId="77777777">
                          <w:trPr>
                            <w:trHeight w:val="366"/>
                          </w:trPr>
                          <w:tc>
                            <w:tcPr>
                              <w:tcW w:w="2518" w:type="dxa"/>
                              <w:tcMar>
                                <w:top w:w="0" w:type="dxa"/>
                                <w:left w:w="108" w:type="dxa"/>
                                <w:bottom w:w="0" w:type="dxa"/>
                                <w:right w:w="108" w:type="dxa"/>
                              </w:tcMar>
                              <w:hideMark/>
                            </w:tcPr>
                            <w:p w14:paraId="6ABEC351" w14:textId="77777777" w:rsidR="000C6BEB" w:rsidRDefault="000C6BEB">
                              <w:pPr>
                                <w:widowControl w:val="0"/>
                                <w:rPr>
                                  <w:rFonts w:cs="Arial"/>
                                  <w:color w:val="000000"/>
                                  <w:kern w:val="28"/>
                                </w:rPr>
                              </w:pPr>
                              <w:r>
                                <w:rPr>
                                  <w:rFonts w:cs="Arial"/>
                                  <w:b/>
                                  <w:bCs/>
                                </w:rPr>
                                <w:t>Recognition:</w:t>
                              </w:r>
                            </w:p>
                          </w:tc>
                          <w:tc>
                            <w:tcPr>
                              <w:tcW w:w="6662" w:type="dxa"/>
                              <w:tcMar>
                                <w:top w:w="0" w:type="dxa"/>
                                <w:left w:w="108" w:type="dxa"/>
                                <w:bottom w:w="0" w:type="dxa"/>
                                <w:right w:w="108" w:type="dxa"/>
                              </w:tcMar>
                              <w:hideMark/>
                            </w:tcPr>
                            <w:p w14:paraId="3357D9E3" w14:textId="77777777" w:rsidR="000C6BEB" w:rsidRDefault="000C6BEB">
                              <w:pPr>
                                <w:widowControl w:val="0"/>
                                <w:spacing w:after="120"/>
                                <w:rPr>
                                  <w:rFonts w:cs="Arial"/>
                                  <w:color w:val="000000"/>
                                  <w:kern w:val="28"/>
                                  <w:lang w:val="en-US"/>
                                </w:rPr>
                              </w:pPr>
                              <w:r>
                                <w:rPr>
                                  <w:rFonts w:cs="Arial"/>
                                  <w:i/>
                                  <w:iCs/>
                                  <w:lang w:val="en-US"/>
                                </w:rPr>
                                <w:t>Valuing staff in a supportive environment that focuses on their wellbeing.</w:t>
                              </w:r>
                            </w:p>
                          </w:tc>
                        </w:tr>
                        <w:tr w:rsidR="000C6BEB" w14:paraId="5D0F0EF6" w14:textId="77777777">
                          <w:trPr>
                            <w:trHeight w:val="366"/>
                          </w:trPr>
                          <w:tc>
                            <w:tcPr>
                              <w:tcW w:w="2518" w:type="dxa"/>
                              <w:tcMar>
                                <w:top w:w="0" w:type="dxa"/>
                                <w:left w:w="108" w:type="dxa"/>
                                <w:bottom w:w="0" w:type="dxa"/>
                                <w:right w:w="108" w:type="dxa"/>
                              </w:tcMar>
                              <w:hideMark/>
                            </w:tcPr>
                            <w:p w14:paraId="7EDD7010" w14:textId="77777777" w:rsidR="000C6BEB" w:rsidRDefault="000C6BEB">
                              <w:pPr>
                                <w:widowControl w:val="0"/>
                                <w:rPr>
                                  <w:rFonts w:cs="Arial"/>
                                  <w:color w:val="000000"/>
                                  <w:kern w:val="28"/>
                                </w:rPr>
                              </w:pPr>
                              <w:r>
                                <w:rPr>
                                  <w:rFonts w:cs="Arial"/>
                                  <w:b/>
                                  <w:bCs/>
                                </w:rPr>
                                <w:t>Innovation:</w:t>
                              </w:r>
                            </w:p>
                          </w:tc>
                          <w:tc>
                            <w:tcPr>
                              <w:tcW w:w="6662" w:type="dxa"/>
                              <w:tcMar>
                                <w:top w:w="0" w:type="dxa"/>
                                <w:left w:w="108" w:type="dxa"/>
                                <w:bottom w:w="0" w:type="dxa"/>
                                <w:right w:w="108" w:type="dxa"/>
                              </w:tcMar>
                              <w:hideMark/>
                            </w:tcPr>
                            <w:p w14:paraId="10210024" w14:textId="77777777" w:rsidR="000C6BEB" w:rsidRDefault="000C6BEB">
                              <w:pPr>
                                <w:widowControl w:val="0"/>
                                <w:spacing w:after="120"/>
                                <w:rPr>
                                  <w:rFonts w:cs="Arial"/>
                                  <w:color w:val="000000"/>
                                  <w:kern w:val="28"/>
                                  <w:lang w:val="en-US"/>
                                </w:rPr>
                              </w:pPr>
                              <w:r>
                                <w:rPr>
                                  <w:rFonts w:cs="Arial"/>
                                  <w:i/>
                                  <w:iCs/>
                                  <w:lang w:val="en-US"/>
                                </w:rPr>
                                <w:t>Focus on innovative approaches in projects and service delivery.</w:t>
                              </w:r>
                            </w:p>
                          </w:tc>
                        </w:tr>
                        <w:tr w:rsidR="000C6BEB" w14:paraId="31898C6C" w14:textId="77777777">
                          <w:trPr>
                            <w:trHeight w:val="366"/>
                          </w:trPr>
                          <w:tc>
                            <w:tcPr>
                              <w:tcW w:w="2518" w:type="dxa"/>
                              <w:tcMar>
                                <w:top w:w="0" w:type="dxa"/>
                                <w:left w:w="108" w:type="dxa"/>
                                <w:bottom w:w="0" w:type="dxa"/>
                                <w:right w:w="108" w:type="dxa"/>
                              </w:tcMar>
                              <w:hideMark/>
                            </w:tcPr>
                            <w:p w14:paraId="25BDE1D0" w14:textId="77777777" w:rsidR="000C6BEB" w:rsidRDefault="000C6BEB">
                              <w:pPr>
                                <w:widowControl w:val="0"/>
                                <w:rPr>
                                  <w:rFonts w:cs="Arial"/>
                                  <w:color w:val="000000"/>
                                  <w:kern w:val="28"/>
                                </w:rPr>
                              </w:pPr>
                              <w:r>
                                <w:rPr>
                                  <w:rFonts w:cs="Arial"/>
                                  <w:b/>
                                  <w:bCs/>
                                </w:rPr>
                                <w:t>Responsiveness:</w:t>
                              </w:r>
                            </w:p>
                          </w:tc>
                          <w:tc>
                            <w:tcPr>
                              <w:tcW w:w="6662" w:type="dxa"/>
                              <w:tcMar>
                                <w:top w:w="0" w:type="dxa"/>
                                <w:left w:w="108" w:type="dxa"/>
                                <w:bottom w:w="0" w:type="dxa"/>
                                <w:right w:w="108" w:type="dxa"/>
                              </w:tcMar>
                              <w:hideMark/>
                            </w:tcPr>
                            <w:p w14:paraId="499FF8B8" w14:textId="77777777" w:rsidR="000C6BEB" w:rsidRDefault="000C6BEB">
                              <w:pPr>
                                <w:widowControl w:val="0"/>
                                <w:spacing w:after="120"/>
                                <w:rPr>
                                  <w:rFonts w:cs="Arial"/>
                                  <w:i/>
                                  <w:iCs/>
                                  <w:lang w:val="en-US"/>
                                </w:rPr>
                              </w:pPr>
                              <w:r>
                                <w:rPr>
                                  <w:rFonts w:cs="Arial"/>
                                  <w:i/>
                                  <w:iCs/>
                                  <w:lang w:val="en-US"/>
                                </w:rPr>
                                <w:t>Dynamic and flexible service delivery.</w:t>
                              </w:r>
                            </w:p>
                            <w:p w14:paraId="008CB85E" w14:textId="77777777" w:rsidR="008A45FB" w:rsidRDefault="008A45FB">
                              <w:pPr>
                                <w:widowControl w:val="0"/>
                                <w:spacing w:after="120"/>
                                <w:rPr>
                                  <w:rFonts w:cs="Arial"/>
                                  <w:color w:val="000000"/>
                                  <w:kern w:val="28"/>
                                  <w:lang w:val="en-US"/>
                                </w:rPr>
                              </w:pPr>
                            </w:p>
                          </w:tc>
                        </w:tr>
                        <w:tr w:rsidR="000C6BEB" w14:paraId="675EF67D" w14:textId="77777777">
                          <w:trPr>
                            <w:trHeight w:val="366"/>
                          </w:trPr>
                          <w:tc>
                            <w:tcPr>
                              <w:tcW w:w="2518" w:type="dxa"/>
                              <w:tcMar>
                                <w:top w:w="0" w:type="dxa"/>
                                <w:left w:w="108" w:type="dxa"/>
                                <w:bottom w:w="0" w:type="dxa"/>
                                <w:right w:w="108" w:type="dxa"/>
                              </w:tcMar>
                              <w:hideMark/>
                            </w:tcPr>
                            <w:p w14:paraId="04DCCD67" w14:textId="77777777" w:rsidR="000C6BEB" w:rsidRDefault="000C6BEB">
                              <w:pPr>
                                <w:widowControl w:val="0"/>
                                <w:rPr>
                                  <w:rFonts w:cs="Arial"/>
                                  <w:color w:val="000000"/>
                                  <w:kern w:val="28"/>
                                </w:rPr>
                              </w:pPr>
                              <w:r>
                                <w:rPr>
                                  <w:rFonts w:cs="Arial"/>
                                  <w:b/>
                                  <w:bCs/>
                                </w:rPr>
                                <w:t>Integrity:</w:t>
                              </w:r>
                            </w:p>
                          </w:tc>
                          <w:tc>
                            <w:tcPr>
                              <w:tcW w:w="6662" w:type="dxa"/>
                              <w:tcMar>
                                <w:top w:w="0" w:type="dxa"/>
                                <w:left w:w="108" w:type="dxa"/>
                                <w:bottom w:w="0" w:type="dxa"/>
                                <w:right w:w="108" w:type="dxa"/>
                              </w:tcMar>
                              <w:hideMark/>
                            </w:tcPr>
                            <w:p w14:paraId="25C08FF2" w14:textId="77777777" w:rsidR="000C6BEB" w:rsidRDefault="000C6BEB">
                              <w:pPr>
                                <w:widowControl w:val="0"/>
                                <w:spacing w:after="120" w:line="273" w:lineRule="auto"/>
                                <w:rPr>
                                  <w:rFonts w:cs="Arial"/>
                                  <w:color w:val="000000"/>
                                  <w:kern w:val="28"/>
                                  <w:lang w:val="en-US"/>
                                </w:rPr>
                              </w:pPr>
                              <w:r>
                                <w:rPr>
                                  <w:rFonts w:cs="Arial"/>
                                  <w:i/>
                                  <w:iCs/>
                                  <w:lang w:val="en-US"/>
                                </w:rPr>
                                <w:t>Accountability and consistency in all that we do.</w:t>
                              </w:r>
                            </w:p>
                          </w:tc>
                        </w:tr>
                      </w:tbl>
                      <w:p w14:paraId="41230B1D" w14:textId="77777777" w:rsidR="000C6BEB" w:rsidRDefault="000C6BEB" w:rsidP="000C6BEB">
                        <w:pPr>
                          <w:widowControl w:val="0"/>
                          <w:spacing w:after="280"/>
                          <w:rPr>
                            <w:rFonts w:cs="Arial"/>
                          </w:rPr>
                        </w:pPr>
                      </w:p>
                      <w:p w14:paraId="786E36B1" w14:textId="77777777" w:rsidR="000C6BEB" w:rsidRDefault="000C6BEB" w:rsidP="000C6BEB">
                        <w:pPr>
                          <w:widowControl w:val="0"/>
                          <w:spacing w:after="200" w:line="360" w:lineRule="auto"/>
                          <w:rPr>
                            <w:rFonts w:ascii="Times New Roman" w:hAnsi="Times New Roman"/>
                            <w:sz w:val="20"/>
                          </w:rPr>
                        </w:pPr>
                        <w:r>
                          <w:t> </w:t>
                        </w:r>
                      </w:p>
                    </w:txbxContent>
                  </v:textbox>
                </v:rect>
              </v:group>
            </w:pict>
          </mc:Fallback>
        </mc:AlternateContent>
      </w:r>
      <w:r w:rsidR="000C6BEB">
        <w:t>The shared mission of EMRC and the member councils is to be a responsive and innovative leader in assisting the region to be a great place to live, work, play and do business. This is achieved through establishing partnerships with member councils (and other stakeholders), facilitating strategies and actions for the benefit and sustainability of the Region.</w:t>
      </w:r>
    </w:p>
    <w:p w14:paraId="1D062D64" w14:textId="31349883" w:rsidR="000C6BEB" w:rsidRDefault="000C6BEB" w:rsidP="000C6BEB"/>
    <w:p w14:paraId="663F759B" w14:textId="77777777" w:rsidR="000C6BEB" w:rsidRDefault="000C6BEB" w:rsidP="000C6BEB"/>
    <w:p w14:paraId="40ACC0B6" w14:textId="77777777" w:rsidR="000C6BEB" w:rsidRDefault="000C6BEB" w:rsidP="000C6BEB"/>
    <w:p w14:paraId="7BF8ABBF" w14:textId="77777777" w:rsidR="000C6BEB" w:rsidRDefault="000C6BEB" w:rsidP="000C6BEB"/>
    <w:p w14:paraId="2637512D" w14:textId="77777777" w:rsidR="000C6BEB" w:rsidRDefault="000C6BEB" w:rsidP="000C6BEB"/>
    <w:p w14:paraId="1E93CFEB" w14:textId="77777777" w:rsidR="000C6BEB" w:rsidRDefault="000C6BEB" w:rsidP="000C6BEB"/>
    <w:p w14:paraId="2BAD79F2" w14:textId="77777777" w:rsidR="000C6BEB" w:rsidRDefault="000C6BEB" w:rsidP="000C6BEB"/>
    <w:p w14:paraId="6737D18E" w14:textId="77777777" w:rsidR="000C6BEB" w:rsidRDefault="000C6BEB" w:rsidP="000C6BEB"/>
    <w:p w14:paraId="3A7A2FE0" w14:textId="77777777" w:rsidR="000C6BEB" w:rsidRDefault="000C6BEB" w:rsidP="000C6BEB"/>
    <w:p w14:paraId="1016A2E7" w14:textId="75B2AE1F" w:rsidR="000C6BEB" w:rsidRDefault="000C6BEB" w:rsidP="000C6BEB"/>
    <w:p w14:paraId="3912F7F2" w14:textId="77777777" w:rsidR="000C6BEB" w:rsidRDefault="000C6BEB" w:rsidP="000C6BEB"/>
    <w:p w14:paraId="3334B378" w14:textId="65864CC8" w:rsidR="000C6BEB" w:rsidRPr="000C6BEB" w:rsidRDefault="000C6BEB" w:rsidP="000C6BEB">
      <w:pPr>
        <w:spacing w:after="200" w:line="276" w:lineRule="auto"/>
        <w:jc w:val="left"/>
      </w:pPr>
    </w:p>
    <w:p w14:paraId="01226E40" w14:textId="77777777" w:rsidR="000C6BEB" w:rsidRDefault="000C6BEB" w:rsidP="000C6BEB">
      <w:pPr>
        <w:pStyle w:val="Heading1"/>
        <w:numPr>
          <w:ilvl w:val="0"/>
          <w:numId w:val="0"/>
        </w:numPr>
      </w:pPr>
      <w:bookmarkStart w:id="5" w:name="_Toc58228920"/>
    </w:p>
    <w:p w14:paraId="5574CFB5" w14:textId="77777777" w:rsidR="008A45FB" w:rsidRDefault="008A45FB" w:rsidP="008A45FB">
      <w:pPr>
        <w:pStyle w:val="Indent1"/>
        <w:rPr>
          <w:lang w:val="en-US"/>
        </w:rPr>
      </w:pPr>
    </w:p>
    <w:p w14:paraId="2216EBE3" w14:textId="77777777" w:rsidR="008A45FB" w:rsidRPr="008A45FB" w:rsidRDefault="008A45FB" w:rsidP="008A45FB">
      <w:pPr>
        <w:pStyle w:val="Indent1"/>
        <w:rPr>
          <w:lang w:val="en-US"/>
        </w:rPr>
      </w:pPr>
    </w:p>
    <w:p w14:paraId="07D5E43B" w14:textId="74DABD1A" w:rsidR="000C6BEB" w:rsidRDefault="000C6BEB" w:rsidP="00356782">
      <w:pPr>
        <w:pStyle w:val="Heading1"/>
        <w:numPr>
          <w:ilvl w:val="0"/>
          <w:numId w:val="8"/>
        </w:numPr>
      </w:pPr>
      <w:bookmarkStart w:id="6" w:name="_Toc207186090"/>
      <w:bookmarkEnd w:id="5"/>
      <w:r>
        <w:t>Integrated Planning Framework</w:t>
      </w:r>
      <w:bookmarkEnd w:id="6"/>
    </w:p>
    <w:p w14:paraId="2A80DA34" w14:textId="73FA19BC" w:rsidR="00FB1AFA" w:rsidRDefault="000C6BEB" w:rsidP="000C6BEB">
      <w:pPr>
        <w:autoSpaceDE w:val="0"/>
        <w:autoSpaceDN w:val="0"/>
        <w:adjustRightInd w:val="0"/>
      </w:pPr>
      <w:r>
        <w:t>EMRC has developed an Integrated Planning Framework to ensure that</w:t>
      </w:r>
      <w:r w:rsidR="00FB1AFA">
        <w:t xml:space="preserve"> programs and services are being delivered </w:t>
      </w:r>
      <w:r w:rsidR="00242305">
        <w:t xml:space="preserve">in </w:t>
      </w:r>
      <w:r w:rsidR="00FB1AFA">
        <w:t>alignment with the strategic priorities of EMRC’s key stakeholders.</w:t>
      </w:r>
    </w:p>
    <w:p w14:paraId="659EE372" w14:textId="4FBED8F4" w:rsidR="00193C52" w:rsidRDefault="00193C52" w:rsidP="000C6BEB">
      <w:pPr>
        <w:autoSpaceDE w:val="0"/>
        <w:autoSpaceDN w:val="0"/>
        <w:adjustRightInd w:val="0"/>
      </w:pPr>
      <w:r>
        <w:t>The revised 10 Year Strategic Plan 2017 to 2027 identifies the overarching outcomes that the EMRC Council aspires to achieve.</w:t>
      </w:r>
    </w:p>
    <w:p w14:paraId="11696B56" w14:textId="432E658F" w:rsidR="000C6BEB" w:rsidRDefault="000C6BEB" w:rsidP="000C6BEB">
      <w:pPr>
        <w:autoSpaceDE w:val="0"/>
        <w:autoSpaceDN w:val="0"/>
        <w:adjustRightInd w:val="0"/>
      </w:pPr>
      <w:r w:rsidRPr="00AA0240">
        <w:rPr>
          <w:rFonts w:cs="Arial"/>
        </w:rPr>
        <w:t xml:space="preserve">It has been developed to guide and inform the actions that will be taken over the next 10 years to benefit the community that lives, works, plays and does business within </w:t>
      </w:r>
      <w:r w:rsidR="005C1A91">
        <w:rPr>
          <w:rFonts w:cs="Arial"/>
        </w:rPr>
        <w:t>the EMRC</w:t>
      </w:r>
      <w:r w:rsidRPr="00AA0240">
        <w:rPr>
          <w:rFonts w:cs="Arial"/>
        </w:rPr>
        <w:t xml:space="preserve"> Region.</w:t>
      </w:r>
      <w:r w:rsidRPr="00E6602D">
        <w:rPr>
          <w:rFonts w:cs="Arial"/>
        </w:rPr>
        <w:t> </w:t>
      </w:r>
      <w:r w:rsidRPr="00FF6483">
        <w:t xml:space="preserve">The </w:t>
      </w:r>
      <w:r w:rsidRPr="00AB4636">
        <w:rPr>
          <w:b/>
        </w:rPr>
        <w:t>Strategic</w:t>
      </w:r>
      <w:r>
        <w:t xml:space="preserve"> </w:t>
      </w:r>
      <w:r w:rsidRPr="0074537B">
        <w:rPr>
          <w:b/>
        </w:rPr>
        <w:t>Asset Management Plan</w:t>
      </w:r>
      <w:r>
        <w:t xml:space="preserve">, a component of the Strategic Asset Management Framework (refer below), </w:t>
      </w:r>
      <w:r w:rsidRPr="00FF6483">
        <w:t xml:space="preserve">is </w:t>
      </w:r>
      <w:r>
        <w:t xml:space="preserve">a Strategic High Level Plan, </w:t>
      </w:r>
      <w:r w:rsidRPr="00FF6483">
        <w:t xml:space="preserve">aligned to the </w:t>
      </w:r>
      <w:r w:rsidRPr="0005171A">
        <w:t xml:space="preserve">priorities identified in </w:t>
      </w:r>
      <w:r w:rsidR="005C1A91">
        <w:t>The revised 10 Year Strategic Plan 2017 to 2027</w:t>
      </w:r>
      <w:r w:rsidRPr="0005171A">
        <w:t>. It guides</w:t>
      </w:r>
      <w:r>
        <w:t xml:space="preserve"> the</w:t>
      </w:r>
      <w:r w:rsidRPr="00FF6483">
        <w:t xml:space="preserve"> development of actions which are prioritised during annual business planning workshops. </w:t>
      </w:r>
    </w:p>
    <w:p w14:paraId="14478C93" w14:textId="77777777" w:rsidR="000C6BEB" w:rsidRPr="00543F60" w:rsidRDefault="000C6BEB" w:rsidP="000C6BEB">
      <w:pPr>
        <w:autoSpaceDE w:val="0"/>
        <w:autoSpaceDN w:val="0"/>
        <w:adjustRightInd w:val="0"/>
        <w:rPr>
          <w:rFonts w:cs="Arial"/>
        </w:rPr>
      </w:pPr>
      <w:r>
        <w:rPr>
          <w:rFonts w:cs="Arial"/>
        </w:rPr>
        <w:t>In a commitment to continuous improvement EMRC provides regular reports on performance to the Council and Community. The EMRC also ensures that regular reviews are undertaken to ensure that the organisation remains focussed on meeting regional needs.</w:t>
      </w:r>
    </w:p>
    <w:p w14:paraId="24B1DBE2" w14:textId="01273612" w:rsidR="000C6BEB" w:rsidRPr="000C6BEB" w:rsidRDefault="000C6BEB" w:rsidP="000C6BEB">
      <w:pPr>
        <w:pStyle w:val="Indent2"/>
        <w:ind w:left="0"/>
        <w:rPr>
          <w:lang w:val="en-US"/>
        </w:rPr>
      </w:pPr>
    </w:p>
    <w:p w14:paraId="164DBE74" w14:textId="5B2BCD57" w:rsidR="0030464E" w:rsidRDefault="000026E1" w:rsidP="00356782">
      <w:pPr>
        <w:pStyle w:val="Heading1"/>
        <w:numPr>
          <w:ilvl w:val="0"/>
          <w:numId w:val="8"/>
        </w:numPr>
      </w:pPr>
      <w:bookmarkStart w:id="7" w:name="_Toc207186091"/>
      <w:r>
        <w:lastRenderedPageBreak/>
        <w:t>Asset Management Planning</w:t>
      </w:r>
      <w:bookmarkEnd w:id="7"/>
    </w:p>
    <w:p w14:paraId="2A75AD45" w14:textId="6C41ABBC" w:rsidR="000026E1" w:rsidRDefault="000026E1" w:rsidP="000026E1">
      <w:pPr>
        <w:pStyle w:val="Heading2"/>
        <w:numPr>
          <w:ilvl w:val="0"/>
          <w:numId w:val="0"/>
        </w:numPr>
        <w:rPr>
          <w:noProof/>
          <w:color w:val="83AD27"/>
        </w:rPr>
      </w:pPr>
      <w:bookmarkStart w:id="8" w:name="_Toc207186092"/>
      <w:r w:rsidRPr="000026E1">
        <w:rPr>
          <w:noProof/>
          <w:color w:val="83AD27"/>
        </w:rPr>
        <w:t>3.1</w:t>
      </w:r>
      <w:r>
        <w:tab/>
      </w:r>
      <w:r w:rsidRPr="000026E1">
        <w:rPr>
          <w:noProof/>
          <w:color w:val="83AD27"/>
        </w:rPr>
        <w:t>Key Concepts</w:t>
      </w:r>
      <w:bookmarkEnd w:id="8"/>
    </w:p>
    <w:p w14:paraId="4B60A3B9" w14:textId="5548A71B" w:rsidR="000026E1" w:rsidRDefault="000026E1" w:rsidP="000026E1">
      <w:r>
        <w:t xml:space="preserve">Asset management forms an </w:t>
      </w:r>
      <w:r w:rsidRPr="005206CC">
        <w:t xml:space="preserve">integral </w:t>
      </w:r>
      <w:r>
        <w:t>component of c</w:t>
      </w:r>
      <w:r w:rsidRPr="005206CC">
        <w:t>orporate planning</w:t>
      </w:r>
      <w:r>
        <w:t xml:space="preserve"> as assets exist to support service delivery. It is critical that EMRC plans, acquires and maintains the most appropriate assets to meet their current and future service delivery demands of its six member councils. </w:t>
      </w:r>
    </w:p>
    <w:p w14:paraId="5575DB6E" w14:textId="77777777" w:rsidR="000026E1" w:rsidRDefault="000026E1" w:rsidP="000026E1">
      <w:r>
        <w:t xml:space="preserve">Good asset management is achieved through: </w:t>
      </w:r>
    </w:p>
    <w:p w14:paraId="256FE208" w14:textId="77777777" w:rsidR="000026E1" w:rsidRDefault="000026E1" w:rsidP="00356782">
      <w:pPr>
        <w:numPr>
          <w:ilvl w:val="0"/>
          <w:numId w:val="9"/>
        </w:numPr>
        <w:spacing w:after="0"/>
      </w:pPr>
      <w:r w:rsidRPr="00B468D0">
        <w:rPr>
          <w:b/>
        </w:rPr>
        <w:t>Effective strategic and operational planning (including risk management)</w:t>
      </w:r>
      <w:r w:rsidRPr="00217A45">
        <w:rPr>
          <w:b/>
        </w:rPr>
        <w:t>.</w:t>
      </w:r>
      <w:r>
        <w:t xml:space="preserve"> Identification of current and future requirements to achieve strategic and operational objectives and risk management;</w:t>
      </w:r>
    </w:p>
    <w:p w14:paraId="503F02EE" w14:textId="77777777" w:rsidR="000026E1" w:rsidRDefault="000026E1" w:rsidP="00356782">
      <w:pPr>
        <w:numPr>
          <w:ilvl w:val="0"/>
          <w:numId w:val="9"/>
        </w:numPr>
        <w:spacing w:after="0"/>
      </w:pPr>
      <w:r w:rsidRPr="00B468D0">
        <w:rPr>
          <w:b/>
        </w:rPr>
        <w:t>Informed asset acquisition or development decisions</w:t>
      </w:r>
      <w:r>
        <w:rPr>
          <w:b/>
        </w:rPr>
        <w:t xml:space="preserve">. </w:t>
      </w:r>
      <w:r>
        <w:t xml:space="preserve">Cost versus benefit analysis, budgeting and selection of procurement method; </w:t>
      </w:r>
    </w:p>
    <w:p w14:paraId="1C603CE1" w14:textId="77777777" w:rsidR="000026E1" w:rsidRDefault="000026E1" w:rsidP="00356782">
      <w:pPr>
        <w:numPr>
          <w:ilvl w:val="0"/>
          <w:numId w:val="9"/>
        </w:numPr>
        <w:spacing w:after="0"/>
      </w:pPr>
      <w:r w:rsidRPr="00B468D0">
        <w:rPr>
          <w:b/>
        </w:rPr>
        <w:t>Timely and proper operations and maintenance procedures</w:t>
      </w:r>
      <w:r>
        <w:rPr>
          <w:b/>
        </w:rPr>
        <w:t>.</w:t>
      </w:r>
      <w:r>
        <w:t xml:space="preserve"> Continuous use of assets and periodic refurbishment, service and repairs of assets; </w:t>
      </w:r>
    </w:p>
    <w:p w14:paraId="330C441A" w14:textId="77777777" w:rsidR="000026E1" w:rsidRDefault="000026E1" w:rsidP="00356782">
      <w:pPr>
        <w:numPr>
          <w:ilvl w:val="0"/>
          <w:numId w:val="9"/>
        </w:numPr>
        <w:spacing w:after="0"/>
      </w:pPr>
      <w:r w:rsidRPr="00B468D0">
        <w:rPr>
          <w:b/>
        </w:rPr>
        <w:t>Informed disposal or destruction decisions</w:t>
      </w:r>
      <w:r>
        <w:rPr>
          <w:b/>
        </w:rPr>
        <w:t xml:space="preserve">. </w:t>
      </w:r>
      <w:r>
        <w:t>Timely retirement of assets which are no longer in use or exceeded their economic life; and</w:t>
      </w:r>
    </w:p>
    <w:p w14:paraId="4B87A740" w14:textId="053B0658" w:rsidR="000026E1" w:rsidRDefault="000026E1" w:rsidP="00356782">
      <w:pPr>
        <w:numPr>
          <w:ilvl w:val="0"/>
          <w:numId w:val="9"/>
        </w:numPr>
        <w:spacing w:after="0"/>
      </w:pPr>
      <w:r w:rsidRPr="00B468D0">
        <w:rPr>
          <w:b/>
        </w:rPr>
        <w:t>Post life cycle analysis (including continuous improvement)</w:t>
      </w:r>
      <w:r w:rsidRPr="00217A45">
        <w:rPr>
          <w:b/>
        </w:rPr>
        <w:t>.</w:t>
      </w:r>
      <w:r>
        <w:t xml:space="preserve"> Identification of improvement opportunities and review of usage and associated costs. </w:t>
      </w:r>
    </w:p>
    <w:p w14:paraId="718D5026" w14:textId="77777777" w:rsidR="000026E1" w:rsidRDefault="000026E1" w:rsidP="000026E1">
      <w:pPr>
        <w:spacing w:after="0"/>
        <w:ind w:left="360"/>
      </w:pPr>
    </w:p>
    <w:p w14:paraId="59AE4D53" w14:textId="3FFFA491" w:rsidR="000026E1" w:rsidRDefault="000026E1" w:rsidP="000026E1">
      <w:r>
        <w:t>The diagram below depicts the key phases of the asset management life cycle:</w:t>
      </w:r>
    </w:p>
    <w:p w14:paraId="13CFB24F" w14:textId="3194DF90" w:rsidR="000026E1" w:rsidRPr="000026E1" w:rsidRDefault="000026E1" w:rsidP="000026E1">
      <w:pPr>
        <w:pStyle w:val="Indent2"/>
        <w:ind w:left="0"/>
        <w:rPr>
          <w:lang w:val="en-US"/>
        </w:rPr>
      </w:pPr>
      <w:r>
        <w:rPr>
          <w:noProof/>
          <w:lang w:eastAsia="en-AU"/>
        </w:rPr>
        <w:drawing>
          <wp:inline distT="0" distB="0" distL="0" distR="0" wp14:anchorId="3751756C" wp14:editId="4B128F78">
            <wp:extent cx="5940425" cy="3267234"/>
            <wp:effectExtent l="0" t="0" r="0" b="9525"/>
            <wp:docPr id="3"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4A475B2A" w14:textId="77777777" w:rsidR="000026E1" w:rsidRPr="000026E1" w:rsidRDefault="000026E1" w:rsidP="000026E1">
      <w:pPr>
        <w:pStyle w:val="Indent2"/>
        <w:rPr>
          <w:lang w:val="en-US"/>
        </w:rPr>
      </w:pPr>
    </w:p>
    <w:p w14:paraId="308EEA56" w14:textId="77777777" w:rsidR="000026E1" w:rsidRDefault="000026E1">
      <w:pPr>
        <w:spacing w:after="200" w:line="276" w:lineRule="auto"/>
        <w:jc w:val="left"/>
        <w:rPr>
          <w:rFonts w:asciiTheme="majorHAnsi" w:eastAsiaTheme="majorEastAsia" w:hAnsiTheme="majorHAnsi" w:cstheme="majorBidi"/>
          <w:b/>
          <w:color w:val="313253" w:themeColor="accent5"/>
          <w:sz w:val="24"/>
          <w:szCs w:val="32"/>
          <w:lang w:val="en-US"/>
        </w:rPr>
      </w:pPr>
      <w:bookmarkStart w:id="9" w:name="_Toc58228923"/>
      <w:r>
        <w:br w:type="page"/>
      </w:r>
    </w:p>
    <w:p w14:paraId="4D7F49D9" w14:textId="575D7C18" w:rsidR="001951AA" w:rsidRPr="001951AA" w:rsidRDefault="001951AA" w:rsidP="001951AA">
      <w:pPr>
        <w:pStyle w:val="Heading2"/>
        <w:numPr>
          <w:ilvl w:val="0"/>
          <w:numId w:val="0"/>
        </w:numPr>
        <w:rPr>
          <w:noProof/>
          <w:color w:val="83AD27"/>
        </w:rPr>
      </w:pPr>
      <w:bookmarkStart w:id="10" w:name="_Toc207186093"/>
      <w:bookmarkStart w:id="11" w:name="_Toc58228925"/>
      <w:bookmarkEnd w:id="9"/>
      <w:r w:rsidRPr="001951AA">
        <w:rPr>
          <w:noProof/>
          <w:color w:val="83AD27"/>
        </w:rPr>
        <w:lastRenderedPageBreak/>
        <w:t xml:space="preserve">3.2 </w:t>
      </w:r>
      <w:r>
        <w:rPr>
          <w:noProof/>
          <w:color w:val="83AD27"/>
        </w:rPr>
        <w:tab/>
      </w:r>
      <w:r w:rsidRPr="001951AA">
        <w:rPr>
          <w:noProof/>
          <w:color w:val="83AD27"/>
        </w:rPr>
        <w:t>Terminology</w:t>
      </w:r>
      <w:bookmarkEnd w:id="10"/>
    </w:p>
    <w:p w14:paraId="513B3BA0" w14:textId="30BFE9F6" w:rsidR="000026E1" w:rsidRPr="008077B2" w:rsidRDefault="000026E1" w:rsidP="000026E1">
      <w:r w:rsidRPr="00964E08">
        <w:t xml:space="preserve">The </w:t>
      </w:r>
      <w:r>
        <w:t>table below provides brief descriptions of key concepts in asset management:</w:t>
      </w: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6520"/>
      </w:tblGrid>
      <w:tr w:rsidR="000026E1" w:rsidRPr="00EB6BE9" w14:paraId="14D0F287" w14:textId="77777777" w:rsidTr="00325820">
        <w:trPr>
          <w:tblHeader/>
          <w:jc w:val="center"/>
        </w:trPr>
        <w:tc>
          <w:tcPr>
            <w:tcW w:w="2269" w:type="dxa"/>
            <w:shd w:val="clear" w:color="auto" w:fill="313253"/>
          </w:tcPr>
          <w:p w14:paraId="686B3B9E" w14:textId="77777777" w:rsidR="000026E1" w:rsidRPr="00EB6BE9" w:rsidRDefault="000026E1" w:rsidP="00325820">
            <w:pPr>
              <w:spacing w:before="120" w:after="120"/>
              <w:rPr>
                <w:b/>
                <w:color w:val="FFFFFF"/>
                <w:lang w:eastAsia="en-AU"/>
              </w:rPr>
            </w:pPr>
            <w:r>
              <w:rPr>
                <w:b/>
                <w:color w:val="FFFFFF"/>
                <w:lang w:eastAsia="en-AU"/>
              </w:rPr>
              <w:t xml:space="preserve">Terminology </w:t>
            </w:r>
          </w:p>
        </w:tc>
        <w:tc>
          <w:tcPr>
            <w:tcW w:w="6520" w:type="dxa"/>
            <w:shd w:val="clear" w:color="auto" w:fill="313253"/>
          </w:tcPr>
          <w:p w14:paraId="74DB1C13" w14:textId="77777777" w:rsidR="000026E1" w:rsidRPr="00EB6BE9" w:rsidRDefault="000026E1" w:rsidP="00325820">
            <w:pPr>
              <w:spacing w:before="120" w:after="120"/>
              <w:rPr>
                <w:b/>
                <w:color w:val="FFFFFF"/>
                <w:lang w:eastAsia="en-AU"/>
              </w:rPr>
            </w:pPr>
            <w:r>
              <w:rPr>
                <w:b/>
                <w:color w:val="FFFFFF"/>
                <w:lang w:eastAsia="en-AU"/>
              </w:rPr>
              <w:t>Description</w:t>
            </w:r>
          </w:p>
        </w:tc>
      </w:tr>
      <w:tr w:rsidR="000026E1" w:rsidRPr="00EB6BE9" w14:paraId="27A3C781" w14:textId="77777777" w:rsidTr="00325820">
        <w:trPr>
          <w:jc w:val="center"/>
        </w:trPr>
        <w:tc>
          <w:tcPr>
            <w:tcW w:w="2269" w:type="dxa"/>
          </w:tcPr>
          <w:p w14:paraId="2EF4CEA1" w14:textId="77777777" w:rsidR="000026E1" w:rsidRPr="00420A8D" w:rsidRDefault="000026E1" w:rsidP="00325820">
            <w:pPr>
              <w:keepLines/>
              <w:spacing w:before="120" w:after="120"/>
              <w:ind w:right="51"/>
              <w:outlineLvl w:val="4"/>
            </w:pPr>
            <w:r w:rsidRPr="00420A8D">
              <w:t xml:space="preserve">Asset </w:t>
            </w:r>
          </w:p>
        </w:tc>
        <w:tc>
          <w:tcPr>
            <w:tcW w:w="6520" w:type="dxa"/>
          </w:tcPr>
          <w:p w14:paraId="00A7C910" w14:textId="77777777" w:rsidR="000026E1" w:rsidRDefault="000026E1" w:rsidP="00325820">
            <w:pPr>
              <w:keepLines/>
              <w:spacing w:before="120" w:after="120"/>
              <w:ind w:right="51"/>
              <w:outlineLvl w:val="4"/>
            </w:pPr>
            <w:r>
              <w:t xml:space="preserve">An asset is an item of value. </w:t>
            </w:r>
          </w:p>
          <w:p w14:paraId="3FD924BB" w14:textId="77777777" w:rsidR="000026E1" w:rsidRDefault="000026E1" w:rsidP="00325820">
            <w:pPr>
              <w:keepLines/>
              <w:spacing w:before="120" w:after="120"/>
              <w:ind w:right="51"/>
              <w:outlineLvl w:val="4"/>
            </w:pPr>
            <w:r>
              <w:t xml:space="preserve">Assets support EMRC’s service delivery to its member councils. </w:t>
            </w:r>
          </w:p>
          <w:p w14:paraId="08630370" w14:textId="77777777" w:rsidR="000026E1" w:rsidRDefault="000026E1" w:rsidP="00325820">
            <w:pPr>
              <w:keepLines/>
              <w:spacing w:before="120" w:after="120"/>
              <w:ind w:right="51"/>
              <w:outlineLvl w:val="4"/>
            </w:pPr>
            <w:r>
              <w:t>Possible groupings of assets include:</w:t>
            </w:r>
          </w:p>
          <w:p w14:paraId="59879509" w14:textId="77777777" w:rsidR="000026E1" w:rsidRDefault="000026E1" w:rsidP="00356782">
            <w:pPr>
              <w:pStyle w:val="ListParagraph"/>
              <w:keepLines/>
              <w:numPr>
                <w:ilvl w:val="0"/>
                <w:numId w:val="10"/>
              </w:numPr>
              <w:spacing w:before="120"/>
              <w:ind w:right="51"/>
              <w:contextualSpacing/>
              <w:outlineLvl w:val="4"/>
            </w:pPr>
            <w:r>
              <w:t>Current or non-current assets;</w:t>
            </w:r>
          </w:p>
          <w:p w14:paraId="416D60B2" w14:textId="77777777" w:rsidR="000026E1" w:rsidRDefault="000026E1" w:rsidP="00356782">
            <w:pPr>
              <w:pStyle w:val="ListParagraph"/>
              <w:keepLines/>
              <w:numPr>
                <w:ilvl w:val="0"/>
                <w:numId w:val="10"/>
              </w:numPr>
              <w:spacing w:before="120"/>
              <w:ind w:right="51"/>
              <w:contextualSpacing/>
              <w:outlineLvl w:val="4"/>
            </w:pPr>
            <w:r>
              <w:t>Tangible or intangible assets;</w:t>
            </w:r>
          </w:p>
          <w:p w14:paraId="1C23721F" w14:textId="77777777" w:rsidR="000026E1" w:rsidRDefault="000026E1" w:rsidP="00356782">
            <w:pPr>
              <w:pStyle w:val="ListParagraph"/>
              <w:keepLines/>
              <w:numPr>
                <w:ilvl w:val="0"/>
                <w:numId w:val="10"/>
              </w:numPr>
              <w:spacing w:before="120"/>
              <w:ind w:right="51"/>
              <w:contextualSpacing/>
              <w:outlineLvl w:val="4"/>
            </w:pPr>
            <w:r>
              <w:t>Leased or owned; and</w:t>
            </w:r>
          </w:p>
          <w:p w14:paraId="16DDC07E" w14:textId="77777777" w:rsidR="000026E1" w:rsidRDefault="000026E1" w:rsidP="00356782">
            <w:pPr>
              <w:pStyle w:val="ListParagraph"/>
              <w:keepLines/>
              <w:numPr>
                <w:ilvl w:val="0"/>
                <w:numId w:val="10"/>
              </w:numPr>
              <w:spacing w:before="120"/>
              <w:ind w:right="51"/>
              <w:contextualSpacing/>
              <w:outlineLvl w:val="4"/>
            </w:pPr>
            <w:r>
              <w:t>Purchased or developed.</w:t>
            </w:r>
          </w:p>
          <w:p w14:paraId="542E6236" w14:textId="77777777" w:rsidR="000026E1" w:rsidRDefault="000026E1" w:rsidP="00325820">
            <w:pPr>
              <w:keepLines/>
              <w:spacing w:before="120" w:after="120"/>
              <w:ind w:right="51"/>
              <w:outlineLvl w:val="4"/>
            </w:pPr>
            <w:r>
              <w:t>The main classes of assets maintained by EMRC include:</w:t>
            </w:r>
          </w:p>
          <w:p w14:paraId="127A938D" w14:textId="77777777" w:rsidR="000026E1" w:rsidRDefault="000026E1" w:rsidP="00356782">
            <w:pPr>
              <w:pStyle w:val="ListParagraph"/>
              <w:keepLines/>
              <w:numPr>
                <w:ilvl w:val="0"/>
                <w:numId w:val="11"/>
              </w:numPr>
              <w:spacing w:before="120"/>
              <w:ind w:right="51"/>
              <w:contextualSpacing/>
              <w:outlineLvl w:val="4"/>
            </w:pPr>
            <w:r>
              <w:t xml:space="preserve">Land; </w:t>
            </w:r>
          </w:p>
          <w:p w14:paraId="037B4B36" w14:textId="77777777" w:rsidR="000026E1" w:rsidRDefault="000026E1" w:rsidP="00356782">
            <w:pPr>
              <w:pStyle w:val="ListParagraph"/>
              <w:keepLines/>
              <w:numPr>
                <w:ilvl w:val="0"/>
                <w:numId w:val="11"/>
              </w:numPr>
              <w:spacing w:before="120"/>
              <w:ind w:right="51"/>
              <w:contextualSpacing/>
              <w:outlineLvl w:val="4"/>
            </w:pPr>
            <w:r>
              <w:t>Buildings;</w:t>
            </w:r>
          </w:p>
          <w:p w14:paraId="2C0118EE" w14:textId="77777777" w:rsidR="000026E1" w:rsidRDefault="000026E1" w:rsidP="00356782">
            <w:pPr>
              <w:pStyle w:val="ListParagraph"/>
              <w:keepLines/>
              <w:numPr>
                <w:ilvl w:val="0"/>
                <w:numId w:val="11"/>
              </w:numPr>
              <w:spacing w:before="120"/>
              <w:ind w:right="51"/>
              <w:contextualSpacing/>
              <w:outlineLvl w:val="4"/>
            </w:pPr>
            <w:r>
              <w:t xml:space="preserve">Structures; </w:t>
            </w:r>
          </w:p>
          <w:p w14:paraId="412632C9" w14:textId="77777777" w:rsidR="000026E1" w:rsidRDefault="000026E1" w:rsidP="00356782">
            <w:pPr>
              <w:pStyle w:val="ListParagraph"/>
              <w:keepLines/>
              <w:numPr>
                <w:ilvl w:val="0"/>
                <w:numId w:val="11"/>
              </w:numPr>
              <w:spacing w:before="120"/>
              <w:ind w:right="51"/>
              <w:contextualSpacing/>
              <w:outlineLvl w:val="4"/>
            </w:pPr>
            <w:r>
              <w:t xml:space="preserve">Plant; </w:t>
            </w:r>
          </w:p>
          <w:p w14:paraId="71771811" w14:textId="77777777" w:rsidR="000026E1" w:rsidRDefault="000026E1" w:rsidP="00356782">
            <w:pPr>
              <w:pStyle w:val="ListParagraph"/>
              <w:keepLines/>
              <w:numPr>
                <w:ilvl w:val="0"/>
                <w:numId w:val="11"/>
              </w:numPr>
              <w:spacing w:before="120"/>
              <w:ind w:right="51"/>
              <w:contextualSpacing/>
              <w:outlineLvl w:val="4"/>
            </w:pPr>
            <w:r>
              <w:t>Equipment; and</w:t>
            </w:r>
          </w:p>
          <w:p w14:paraId="00E33639" w14:textId="77777777" w:rsidR="000026E1" w:rsidRPr="00420A8D" w:rsidRDefault="000026E1" w:rsidP="00356782">
            <w:pPr>
              <w:pStyle w:val="ListParagraph"/>
              <w:keepLines/>
              <w:numPr>
                <w:ilvl w:val="0"/>
                <w:numId w:val="11"/>
              </w:numPr>
              <w:spacing w:before="120"/>
              <w:ind w:right="51"/>
              <w:contextualSpacing/>
              <w:outlineLvl w:val="4"/>
            </w:pPr>
            <w:r>
              <w:t>Furniture and fittings.</w:t>
            </w:r>
          </w:p>
        </w:tc>
      </w:tr>
      <w:tr w:rsidR="000026E1" w:rsidRPr="00EB6BE9" w14:paraId="498ED94F" w14:textId="77777777" w:rsidTr="00325820">
        <w:trPr>
          <w:jc w:val="center"/>
        </w:trPr>
        <w:tc>
          <w:tcPr>
            <w:tcW w:w="2269" w:type="dxa"/>
          </w:tcPr>
          <w:p w14:paraId="51296C71" w14:textId="77777777" w:rsidR="000026E1" w:rsidRPr="00420A8D" w:rsidRDefault="000026E1" w:rsidP="00325820">
            <w:pPr>
              <w:keepLines/>
              <w:spacing w:before="120" w:after="120"/>
              <w:ind w:right="51"/>
              <w:outlineLvl w:val="4"/>
            </w:pPr>
            <w:r>
              <w:t>Control</w:t>
            </w:r>
          </w:p>
        </w:tc>
        <w:tc>
          <w:tcPr>
            <w:tcW w:w="6520" w:type="dxa"/>
          </w:tcPr>
          <w:p w14:paraId="3D320275" w14:textId="77777777" w:rsidR="000026E1" w:rsidRDefault="000026E1" w:rsidP="00325820">
            <w:pPr>
              <w:keepLines/>
              <w:spacing w:before="120" w:after="120"/>
              <w:ind w:right="51"/>
              <w:outlineLvl w:val="4"/>
            </w:pPr>
            <w:r>
              <w:t>An entity is deemed to have control over an asset when it has the capacity to:</w:t>
            </w:r>
          </w:p>
          <w:p w14:paraId="429504BE" w14:textId="77777777" w:rsidR="000026E1" w:rsidRDefault="000026E1" w:rsidP="00356782">
            <w:pPr>
              <w:pStyle w:val="ListParagraph"/>
              <w:keepLines/>
              <w:numPr>
                <w:ilvl w:val="0"/>
                <w:numId w:val="12"/>
              </w:numPr>
              <w:spacing w:before="120"/>
              <w:ind w:right="51"/>
              <w:contextualSpacing/>
              <w:outlineLvl w:val="4"/>
            </w:pPr>
            <w:r>
              <w:t xml:space="preserve">Enjoy the service potential or future economic benefits of the asset; </w:t>
            </w:r>
          </w:p>
          <w:p w14:paraId="69E3B660" w14:textId="77777777" w:rsidR="000026E1" w:rsidRDefault="000026E1" w:rsidP="00356782">
            <w:pPr>
              <w:pStyle w:val="ListParagraph"/>
              <w:keepLines/>
              <w:numPr>
                <w:ilvl w:val="0"/>
                <w:numId w:val="12"/>
              </w:numPr>
              <w:spacing w:before="120"/>
              <w:ind w:right="51"/>
              <w:contextualSpacing/>
              <w:outlineLvl w:val="4"/>
            </w:pPr>
            <w:r>
              <w:t>Deny or regulate access to those benefits.</w:t>
            </w:r>
          </w:p>
          <w:p w14:paraId="5FD87A68" w14:textId="77777777" w:rsidR="000026E1" w:rsidRDefault="000026E1" w:rsidP="00325820">
            <w:pPr>
              <w:keepLines/>
              <w:spacing w:before="120" w:after="120"/>
              <w:ind w:right="51"/>
              <w:outlineLvl w:val="4"/>
            </w:pPr>
            <w:r>
              <w:t>The entity that is responsible for the control of an asset may not necessarily be the entity that holds the ownership to the asset.</w:t>
            </w:r>
          </w:p>
          <w:p w14:paraId="0EDCD973" w14:textId="77777777" w:rsidR="000026E1" w:rsidRPr="00607010" w:rsidRDefault="000026E1" w:rsidP="00325820">
            <w:pPr>
              <w:keepLines/>
              <w:spacing w:before="120" w:after="120"/>
              <w:ind w:right="51"/>
              <w:outlineLvl w:val="4"/>
            </w:pPr>
            <w:r>
              <w:t xml:space="preserve">EMRC has control over its assets which are jointly owned by the six member councils. </w:t>
            </w:r>
          </w:p>
        </w:tc>
      </w:tr>
      <w:tr w:rsidR="000026E1" w:rsidRPr="00EB6BE9" w14:paraId="26051574" w14:textId="77777777" w:rsidTr="00325820">
        <w:trPr>
          <w:jc w:val="center"/>
        </w:trPr>
        <w:tc>
          <w:tcPr>
            <w:tcW w:w="2269" w:type="dxa"/>
          </w:tcPr>
          <w:p w14:paraId="08337EF3" w14:textId="77777777" w:rsidR="000026E1" w:rsidRPr="00420A8D" w:rsidRDefault="000026E1" w:rsidP="00325820">
            <w:pPr>
              <w:keepLines/>
              <w:spacing w:before="120" w:after="120"/>
              <w:ind w:right="51"/>
              <w:outlineLvl w:val="4"/>
            </w:pPr>
            <w:r>
              <w:t xml:space="preserve">Accountability </w:t>
            </w:r>
          </w:p>
        </w:tc>
        <w:tc>
          <w:tcPr>
            <w:tcW w:w="6520" w:type="dxa"/>
          </w:tcPr>
          <w:p w14:paraId="3A99DC30" w14:textId="77777777" w:rsidR="000026E1" w:rsidRDefault="000026E1" w:rsidP="00325820">
            <w:pPr>
              <w:keepLines/>
              <w:spacing w:before="120" w:after="120"/>
              <w:ind w:right="51"/>
              <w:outlineLvl w:val="4"/>
            </w:pPr>
            <w:r>
              <w:t xml:space="preserve">Accountability refers to mechanisms to ensure that the actions of a person or an entity meet the agreed standards. An entity that controls assets is accountable for the management of those assets. </w:t>
            </w:r>
          </w:p>
          <w:p w14:paraId="3BA0E1D9" w14:textId="77777777" w:rsidR="000026E1" w:rsidRPr="00420A8D" w:rsidRDefault="000026E1" w:rsidP="00325820">
            <w:pPr>
              <w:keepLines/>
              <w:spacing w:before="120" w:after="120"/>
              <w:ind w:right="51"/>
              <w:outlineLvl w:val="4"/>
            </w:pPr>
            <w:r>
              <w:t xml:space="preserve">EMRC is accountable for the management of its assets which are jointly owned by the six member councils. </w:t>
            </w:r>
          </w:p>
        </w:tc>
      </w:tr>
    </w:tbl>
    <w:p w14:paraId="2C14D1E4" w14:textId="77777777" w:rsidR="000026E1" w:rsidRPr="00E25C5A" w:rsidRDefault="000026E1" w:rsidP="000026E1">
      <w:pPr>
        <w:pStyle w:val="RSMArialBody"/>
      </w:pPr>
    </w:p>
    <w:p w14:paraId="71CBB370" w14:textId="77777777" w:rsidR="000026E1" w:rsidRDefault="000026E1">
      <w:pPr>
        <w:spacing w:after="200" w:line="276" w:lineRule="auto"/>
        <w:jc w:val="left"/>
        <w:rPr>
          <w:rFonts w:asciiTheme="majorHAnsi" w:eastAsiaTheme="majorEastAsia" w:hAnsiTheme="majorHAnsi" w:cstheme="majorBidi"/>
          <w:b/>
          <w:noProof/>
          <w:color w:val="83AD27"/>
          <w:sz w:val="24"/>
          <w:szCs w:val="26"/>
          <w:lang w:val="en-US"/>
        </w:rPr>
      </w:pPr>
      <w:r>
        <w:rPr>
          <w:noProof/>
          <w:color w:val="83AD27"/>
        </w:rPr>
        <w:br w:type="page"/>
      </w:r>
    </w:p>
    <w:p w14:paraId="64500150" w14:textId="386E847A" w:rsidR="000026E1" w:rsidRDefault="000026E1" w:rsidP="000026E1">
      <w:pPr>
        <w:pStyle w:val="Heading2"/>
        <w:numPr>
          <w:ilvl w:val="0"/>
          <w:numId w:val="0"/>
        </w:numPr>
        <w:rPr>
          <w:noProof/>
          <w:color w:val="83AD27"/>
        </w:rPr>
      </w:pPr>
      <w:bookmarkStart w:id="12" w:name="_Toc207186094"/>
      <w:r>
        <w:rPr>
          <w:noProof/>
          <w:color w:val="83AD27"/>
        </w:rPr>
        <w:lastRenderedPageBreak/>
        <w:t xml:space="preserve">3.3 </w:t>
      </w:r>
      <w:r w:rsidR="001951AA">
        <w:rPr>
          <w:noProof/>
          <w:color w:val="83AD27"/>
        </w:rPr>
        <w:tab/>
      </w:r>
      <w:r>
        <w:rPr>
          <w:noProof/>
          <w:color w:val="83AD27"/>
        </w:rPr>
        <w:t>Financial Management</w:t>
      </w:r>
      <w:bookmarkEnd w:id="12"/>
      <w:r>
        <w:rPr>
          <w:noProof/>
          <w:color w:val="83AD27"/>
        </w:rPr>
        <w:t xml:space="preserve"> </w:t>
      </w:r>
    </w:p>
    <w:p w14:paraId="429BF25C" w14:textId="74D907C7" w:rsidR="001951AA" w:rsidRPr="008077B2" w:rsidRDefault="001951AA" w:rsidP="001951AA">
      <w:r w:rsidRPr="00964E08">
        <w:t xml:space="preserve">The </w:t>
      </w:r>
      <w:r>
        <w:t>table below provides brief descriptions of key concepts that affect financial management:</w:t>
      </w: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6520"/>
      </w:tblGrid>
      <w:tr w:rsidR="001951AA" w:rsidRPr="00EB6BE9" w14:paraId="1463C039" w14:textId="77777777" w:rsidTr="00325820">
        <w:trPr>
          <w:tblHeader/>
          <w:jc w:val="center"/>
        </w:trPr>
        <w:tc>
          <w:tcPr>
            <w:tcW w:w="2269" w:type="dxa"/>
            <w:shd w:val="clear" w:color="auto" w:fill="313253"/>
          </w:tcPr>
          <w:p w14:paraId="73AD7F19" w14:textId="77777777" w:rsidR="001951AA" w:rsidRPr="00EB6BE9" w:rsidRDefault="001951AA" w:rsidP="00325820">
            <w:pPr>
              <w:spacing w:before="120" w:after="120"/>
              <w:rPr>
                <w:b/>
                <w:color w:val="FFFFFF"/>
                <w:lang w:eastAsia="en-AU"/>
              </w:rPr>
            </w:pPr>
            <w:r>
              <w:rPr>
                <w:b/>
                <w:color w:val="FFFFFF"/>
                <w:lang w:eastAsia="en-AU"/>
              </w:rPr>
              <w:t xml:space="preserve">Terminology </w:t>
            </w:r>
          </w:p>
        </w:tc>
        <w:tc>
          <w:tcPr>
            <w:tcW w:w="6520" w:type="dxa"/>
            <w:shd w:val="clear" w:color="auto" w:fill="313253"/>
          </w:tcPr>
          <w:p w14:paraId="61F1CD74" w14:textId="77777777" w:rsidR="001951AA" w:rsidRPr="00EB6BE9" w:rsidRDefault="001951AA" w:rsidP="00325820">
            <w:pPr>
              <w:spacing w:before="120" w:after="120"/>
              <w:rPr>
                <w:b/>
                <w:color w:val="FFFFFF"/>
                <w:lang w:eastAsia="en-AU"/>
              </w:rPr>
            </w:pPr>
            <w:r>
              <w:rPr>
                <w:b/>
                <w:color w:val="FFFFFF"/>
                <w:lang w:eastAsia="en-AU"/>
              </w:rPr>
              <w:t>Description</w:t>
            </w:r>
          </w:p>
        </w:tc>
      </w:tr>
      <w:tr w:rsidR="001951AA" w:rsidRPr="00EB6BE9" w14:paraId="3E57E8C3" w14:textId="77777777" w:rsidTr="00325820">
        <w:trPr>
          <w:jc w:val="center"/>
        </w:trPr>
        <w:tc>
          <w:tcPr>
            <w:tcW w:w="2269" w:type="dxa"/>
          </w:tcPr>
          <w:p w14:paraId="51D1FF75" w14:textId="77777777" w:rsidR="001951AA" w:rsidRPr="00420A8D" w:rsidRDefault="001951AA" w:rsidP="00325820">
            <w:pPr>
              <w:keepLines/>
              <w:spacing w:before="120" w:after="120"/>
              <w:ind w:right="51"/>
              <w:outlineLvl w:val="4"/>
            </w:pPr>
            <w:r>
              <w:t xml:space="preserve">Asset Recognition </w:t>
            </w:r>
          </w:p>
        </w:tc>
        <w:tc>
          <w:tcPr>
            <w:tcW w:w="6520" w:type="dxa"/>
          </w:tcPr>
          <w:p w14:paraId="0042008D" w14:textId="77777777" w:rsidR="001951AA" w:rsidRDefault="001951AA" w:rsidP="00325820">
            <w:pPr>
              <w:keepLines/>
              <w:spacing w:before="120" w:after="120"/>
              <w:ind w:right="51"/>
              <w:outlineLvl w:val="4"/>
            </w:pPr>
            <w:r>
              <w:t>An asset should be recognised in the financial statements when the following criteria are met:</w:t>
            </w:r>
          </w:p>
          <w:p w14:paraId="7F1BDAEA" w14:textId="77777777" w:rsidR="001951AA" w:rsidRDefault="001951AA" w:rsidP="00356782">
            <w:pPr>
              <w:pStyle w:val="ListParagraph"/>
              <w:keepLines/>
              <w:numPr>
                <w:ilvl w:val="0"/>
                <w:numId w:val="13"/>
              </w:numPr>
              <w:spacing w:before="120"/>
              <w:ind w:right="51"/>
              <w:contextualSpacing/>
              <w:outlineLvl w:val="4"/>
            </w:pPr>
            <w:r>
              <w:t xml:space="preserve">The asset has service potential for the entity; </w:t>
            </w:r>
          </w:p>
          <w:p w14:paraId="6AAA3DF7" w14:textId="77777777" w:rsidR="001951AA" w:rsidRDefault="001951AA" w:rsidP="00356782">
            <w:pPr>
              <w:pStyle w:val="ListParagraph"/>
              <w:keepLines/>
              <w:numPr>
                <w:ilvl w:val="0"/>
                <w:numId w:val="13"/>
              </w:numPr>
              <w:spacing w:before="120"/>
              <w:ind w:right="51"/>
              <w:contextualSpacing/>
              <w:outlineLvl w:val="4"/>
            </w:pPr>
            <w:r>
              <w:t xml:space="preserve">The entity has control over the service potential; </w:t>
            </w:r>
          </w:p>
          <w:p w14:paraId="201817CE" w14:textId="77777777" w:rsidR="001951AA" w:rsidRDefault="001951AA" w:rsidP="00356782">
            <w:pPr>
              <w:pStyle w:val="ListParagraph"/>
              <w:keepLines/>
              <w:numPr>
                <w:ilvl w:val="0"/>
                <w:numId w:val="13"/>
              </w:numPr>
              <w:spacing w:before="120"/>
              <w:ind w:right="51"/>
              <w:contextualSpacing/>
              <w:outlineLvl w:val="4"/>
            </w:pPr>
            <w:r>
              <w:t xml:space="preserve">It is probable that the service potential will be used; </w:t>
            </w:r>
          </w:p>
          <w:p w14:paraId="575602F7" w14:textId="77777777" w:rsidR="001951AA" w:rsidRDefault="001951AA" w:rsidP="00356782">
            <w:pPr>
              <w:pStyle w:val="ListParagraph"/>
              <w:keepLines/>
              <w:numPr>
                <w:ilvl w:val="0"/>
                <w:numId w:val="13"/>
              </w:numPr>
              <w:spacing w:before="120"/>
              <w:ind w:right="51"/>
              <w:contextualSpacing/>
              <w:outlineLvl w:val="4"/>
            </w:pPr>
            <w:r>
              <w:t>The cost or value of the asset can be reliably measured; and</w:t>
            </w:r>
          </w:p>
          <w:p w14:paraId="19BCA25D" w14:textId="77777777" w:rsidR="001951AA" w:rsidRDefault="001951AA" w:rsidP="00356782">
            <w:pPr>
              <w:pStyle w:val="ListParagraph"/>
              <w:keepLines/>
              <w:numPr>
                <w:ilvl w:val="0"/>
                <w:numId w:val="13"/>
              </w:numPr>
              <w:spacing w:before="120"/>
              <w:ind w:right="51"/>
              <w:contextualSpacing/>
              <w:outlineLvl w:val="4"/>
            </w:pPr>
            <w:r>
              <w:t xml:space="preserve">The estimated value of the asset is above the entity’s recognition threshold. </w:t>
            </w:r>
          </w:p>
          <w:p w14:paraId="74AD7B16" w14:textId="77777777" w:rsidR="001951AA" w:rsidRPr="00AD45F5" w:rsidRDefault="001951AA" w:rsidP="00325820">
            <w:pPr>
              <w:pStyle w:val="ListParagraph"/>
              <w:keepLines/>
              <w:spacing w:before="120"/>
              <w:ind w:right="51"/>
              <w:outlineLvl w:val="4"/>
            </w:pPr>
          </w:p>
        </w:tc>
      </w:tr>
      <w:tr w:rsidR="001951AA" w:rsidRPr="00EB6BE9" w14:paraId="4036DBF3" w14:textId="77777777" w:rsidTr="00325820">
        <w:trPr>
          <w:jc w:val="center"/>
        </w:trPr>
        <w:tc>
          <w:tcPr>
            <w:tcW w:w="2269" w:type="dxa"/>
          </w:tcPr>
          <w:p w14:paraId="4D895EB9" w14:textId="77777777" w:rsidR="001951AA" w:rsidRPr="00420A8D" w:rsidRDefault="001951AA" w:rsidP="00325820">
            <w:pPr>
              <w:keepLines/>
              <w:spacing w:before="120" w:after="120"/>
              <w:ind w:right="51"/>
              <w:outlineLvl w:val="4"/>
            </w:pPr>
            <w:r>
              <w:t xml:space="preserve">Service Potential </w:t>
            </w:r>
          </w:p>
        </w:tc>
        <w:tc>
          <w:tcPr>
            <w:tcW w:w="6520" w:type="dxa"/>
          </w:tcPr>
          <w:p w14:paraId="2A03CFE7" w14:textId="77777777" w:rsidR="001951AA" w:rsidRDefault="001951AA" w:rsidP="00325820">
            <w:pPr>
              <w:keepLines/>
              <w:spacing w:before="120" w:after="120"/>
              <w:ind w:right="51"/>
              <w:outlineLvl w:val="4"/>
            </w:pPr>
            <w:r>
              <w:t xml:space="preserve">Service potential relates to the fundamental nature of an asset where it is used to contribute to the delivery of a service.  Service potential declines over time through wear and tear, technical obsolescence and/or commercial obsolescence. </w:t>
            </w:r>
          </w:p>
          <w:p w14:paraId="6F4B8B96" w14:textId="77777777" w:rsidR="001951AA" w:rsidRPr="00607010" w:rsidRDefault="001951AA" w:rsidP="00325820">
            <w:pPr>
              <w:keepLines/>
              <w:spacing w:before="120" w:after="120"/>
              <w:ind w:right="51"/>
              <w:outlineLvl w:val="4"/>
            </w:pPr>
          </w:p>
        </w:tc>
      </w:tr>
      <w:tr w:rsidR="001951AA" w:rsidRPr="00EB6BE9" w14:paraId="40EA5722" w14:textId="77777777" w:rsidTr="00325820">
        <w:trPr>
          <w:jc w:val="center"/>
        </w:trPr>
        <w:tc>
          <w:tcPr>
            <w:tcW w:w="2269" w:type="dxa"/>
          </w:tcPr>
          <w:p w14:paraId="13A0C6D5" w14:textId="77777777" w:rsidR="001951AA" w:rsidRPr="00420A8D" w:rsidRDefault="001951AA" w:rsidP="00325820">
            <w:pPr>
              <w:keepLines/>
              <w:spacing w:before="120" w:after="120"/>
              <w:ind w:right="51"/>
              <w:outlineLvl w:val="4"/>
            </w:pPr>
            <w:r>
              <w:t xml:space="preserve">Depreciation </w:t>
            </w:r>
          </w:p>
        </w:tc>
        <w:tc>
          <w:tcPr>
            <w:tcW w:w="6520" w:type="dxa"/>
          </w:tcPr>
          <w:p w14:paraId="19F88CC8" w14:textId="77777777" w:rsidR="001951AA" w:rsidRDefault="001951AA" w:rsidP="00325820">
            <w:pPr>
              <w:keepLines/>
              <w:spacing w:before="120" w:after="120"/>
              <w:ind w:right="51"/>
              <w:outlineLvl w:val="4"/>
            </w:pPr>
            <w:r>
              <w:t>Depreciation relates to the cost associated with consuming the service potential over time and accounts for costs of an asset over time.</w:t>
            </w:r>
          </w:p>
          <w:p w14:paraId="6F3D9F5B" w14:textId="77777777" w:rsidR="001951AA" w:rsidRDefault="001951AA" w:rsidP="00325820">
            <w:pPr>
              <w:keepLines/>
              <w:spacing w:before="120" w:after="120"/>
              <w:ind w:right="51"/>
              <w:outlineLvl w:val="4"/>
            </w:pPr>
            <w:r>
              <w:t xml:space="preserve">Depreciation is often a book entry and does not provide funding for the replacement of an asset. </w:t>
            </w:r>
          </w:p>
          <w:p w14:paraId="2A1769EF" w14:textId="77777777" w:rsidR="001951AA" w:rsidRDefault="001951AA" w:rsidP="00325820">
            <w:pPr>
              <w:keepLines/>
              <w:spacing w:before="120" w:after="120"/>
              <w:ind w:right="51"/>
              <w:outlineLvl w:val="4"/>
            </w:pPr>
            <w:r>
              <w:t>The common depreciation methods include:</w:t>
            </w:r>
          </w:p>
          <w:p w14:paraId="5F47C3AC" w14:textId="77777777" w:rsidR="001951AA" w:rsidRDefault="001951AA" w:rsidP="00356782">
            <w:pPr>
              <w:pStyle w:val="ListParagraph"/>
              <w:keepLines/>
              <w:numPr>
                <w:ilvl w:val="0"/>
                <w:numId w:val="14"/>
              </w:numPr>
              <w:spacing w:before="120"/>
              <w:ind w:right="51"/>
              <w:contextualSpacing/>
              <w:outlineLvl w:val="4"/>
            </w:pPr>
            <w:r>
              <w:t xml:space="preserve">Straight line; </w:t>
            </w:r>
          </w:p>
          <w:p w14:paraId="5F2A931F" w14:textId="77777777" w:rsidR="001951AA" w:rsidRDefault="001951AA" w:rsidP="00356782">
            <w:pPr>
              <w:pStyle w:val="ListParagraph"/>
              <w:keepLines/>
              <w:numPr>
                <w:ilvl w:val="0"/>
                <w:numId w:val="14"/>
              </w:numPr>
              <w:spacing w:before="120"/>
              <w:ind w:right="51"/>
              <w:contextualSpacing/>
              <w:outlineLvl w:val="4"/>
            </w:pPr>
            <w:r>
              <w:t xml:space="preserve">Reducing balance; or </w:t>
            </w:r>
          </w:p>
          <w:p w14:paraId="7F5AECD7" w14:textId="77777777" w:rsidR="001951AA" w:rsidRDefault="001951AA" w:rsidP="00356782">
            <w:pPr>
              <w:pStyle w:val="ListParagraph"/>
              <w:keepLines/>
              <w:numPr>
                <w:ilvl w:val="0"/>
                <w:numId w:val="14"/>
              </w:numPr>
              <w:spacing w:before="120"/>
              <w:ind w:right="51"/>
              <w:contextualSpacing/>
              <w:outlineLvl w:val="4"/>
            </w:pPr>
            <w:r>
              <w:t xml:space="preserve">Production unit method. </w:t>
            </w:r>
          </w:p>
          <w:p w14:paraId="5E3CF97A" w14:textId="77777777" w:rsidR="001951AA" w:rsidRDefault="001951AA" w:rsidP="00325820">
            <w:pPr>
              <w:keepLines/>
              <w:spacing w:before="120" w:after="120"/>
              <w:ind w:right="51"/>
              <w:outlineLvl w:val="4"/>
            </w:pPr>
            <w:r>
              <w:t xml:space="preserve">Selection of depreciation method should be made based on the pattern of service potential yielded by the asset (as closely as possible) to ensure that a realistic reflection of the costs associated with the usage of the asset. </w:t>
            </w:r>
          </w:p>
          <w:p w14:paraId="643BA372" w14:textId="77777777" w:rsidR="001951AA" w:rsidRDefault="001951AA" w:rsidP="00325820">
            <w:pPr>
              <w:keepLines/>
              <w:spacing w:before="120" w:after="120"/>
              <w:ind w:right="51"/>
              <w:outlineLvl w:val="4"/>
            </w:pPr>
            <w:r>
              <w:t xml:space="preserve">Applied depreciation rates are to be reviewed annually and adjusted where required. </w:t>
            </w:r>
          </w:p>
          <w:p w14:paraId="5EFA3C5B" w14:textId="77777777" w:rsidR="001951AA" w:rsidRPr="00121321" w:rsidRDefault="001951AA" w:rsidP="00325820">
            <w:pPr>
              <w:keepLines/>
              <w:spacing w:before="120" w:after="120"/>
              <w:ind w:right="51"/>
              <w:outlineLvl w:val="4"/>
            </w:pPr>
          </w:p>
        </w:tc>
      </w:tr>
      <w:tr w:rsidR="001951AA" w:rsidRPr="00EB6BE9" w14:paraId="50693E17" w14:textId="77777777" w:rsidTr="00325820">
        <w:trPr>
          <w:jc w:val="center"/>
        </w:trPr>
        <w:tc>
          <w:tcPr>
            <w:tcW w:w="2269" w:type="dxa"/>
          </w:tcPr>
          <w:p w14:paraId="791D98A7" w14:textId="77777777" w:rsidR="001951AA" w:rsidRDefault="001951AA" w:rsidP="00325820">
            <w:pPr>
              <w:keepLines/>
              <w:spacing w:before="120" w:after="120"/>
              <w:ind w:right="51"/>
              <w:outlineLvl w:val="4"/>
            </w:pPr>
            <w:r>
              <w:t>Useful Life</w:t>
            </w:r>
          </w:p>
        </w:tc>
        <w:tc>
          <w:tcPr>
            <w:tcW w:w="6520" w:type="dxa"/>
          </w:tcPr>
          <w:p w14:paraId="7F762EAF" w14:textId="77777777" w:rsidR="001951AA" w:rsidRDefault="001951AA" w:rsidP="00325820">
            <w:pPr>
              <w:keepLines/>
              <w:spacing w:before="120" w:after="120"/>
              <w:ind w:right="51"/>
              <w:outlineLvl w:val="4"/>
            </w:pPr>
            <w:r>
              <w:t xml:space="preserve">Useful life refers to the period over which the asset is expected to provide the entity with service </w:t>
            </w:r>
          </w:p>
          <w:p w14:paraId="73E9DEB1" w14:textId="77777777" w:rsidR="001951AA" w:rsidRDefault="001951AA" w:rsidP="00325820">
            <w:pPr>
              <w:keepLines/>
              <w:spacing w:before="120" w:after="120"/>
              <w:ind w:right="51"/>
              <w:outlineLvl w:val="4"/>
            </w:pPr>
            <w:r>
              <w:t xml:space="preserve">Useful life can be measured in terms of time (years) or output (production or service units). </w:t>
            </w:r>
          </w:p>
          <w:p w14:paraId="6E111486" w14:textId="77777777" w:rsidR="001951AA" w:rsidRDefault="001951AA" w:rsidP="00325820">
            <w:pPr>
              <w:keepLines/>
              <w:spacing w:before="120" w:after="120"/>
              <w:ind w:right="51"/>
              <w:outlineLvl w:val="4"/>
            </w:pPr>
            <w:r>
              <w:t xml:space="preserve">Useful life is critical in the determination of depreciation rate. </w:t>
            </w:r>
          </w:p>
          <w:p w14:paraId="204D4BFF" w14:textId="77777777" w:rsidR="001951AA" w:rsidRDefault="001951AA" w:rsidP="00325820">
            <w:pPr>
              <w:keepLines/>
              <w:spacing w:before="120" w:after="120"/>
              <w:ind w:right="51"/>
              <w:outlineLvl w:val="4"/>
            </w:pPr>
          </w:p>
        </w:tc>
      </w:tr>
      <w:tr w:rsidR="001951AA" w:rsidRPr="00EB6BE9" w14:paraId="6AB86A04" w14:textId="77777777" w:rsidTr="00325820">
        <w:trPr>
          <w:jc w:val="center"/>
        </w:trPr>
        <w:tc>
          <w:tcPr>
            <w:tcW w:w="2269" w:type="dxa"/>
          </w:tcPr>
          <w:p w14:paraId="707FEAFE" w14:textId="77777777" w:rsidR="001951AA" w:rsidRDefault="001951AA" w:rsidP="00325820">
            <w:pPr>
              <w:keepLines/>
              <w:spacing w:before="120" w:after="120"/>
              <w:ind w:right="51"/>
              <w:outlineLvl w:val="4"/>
            </w:pPr>
            <w:r>
              <w:t xml:space="preserve">Valuation </w:t>
            </w:r>
          </w:p>
        </w:tc>
        <w:tc>
          <w:tcPr>
            <w:tcW w:w="6520" w:type="dxa"/>
          </w:tcPr>
          <w:p w14:paraId="76670F07" w14:textId="77777777" w:rsidR="001951AA" w:rsidRDefault="001951AA" w:rsidP="00325820">
            <w:pPr>
              <w:keepLines/>
              <w:spacing w:before="120" w:after="120"/>
              <w:ind w:right="51"/>
              <w:outlineLvl w:val="4"/>
            </w:pPr>
            <w:r>
              <w:t xml:space="preserve">Valuation refers to the determination of the economic value of an asset or liability. </w:t>
            </w:r>
          </w:p>
        </w:tc>
      </w:tr>
    </w:tbl>
    <w:p w14:paraId="6AD89C09" w14:textId="77777777" w:rsidR="001951AA" w:rsidRPr="001951AA" w:rsidRDefault="001951AA" w:rsidP="001951AA">
      <w:pPr>
        <w:pStyle w:val="Indent2"/>
        <w:ind w:left="0"/>
        <w:rPr>
          <w:lang w:val="en-US"/>
        </w:rPr>
      </w:pP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6520"/>
      </w:tblGrid>
      <w:tr w:rsidR="001951AA" w:rsidRPr="001951AA" w14:paraId="2D798ED8" w14:textId="77777777" w:rsidTr="001951AA">
        <w:trPr>
          <w:tblHeader/>
          <w:jc w:val="center"/>
        </w:trPr>
        <w:tc>
          <w:tcPr>
            <w:tcW w:w="2269" w:type="dxa"/>
            <w:tcBorders>
              <w:top w:val="single" w:sz="4" w:space="0" w:color="auto"/>
              <w:left w:val="single" w:sz="4" w:space="0" w:color="auto"/>
              <w:bottom w:val="single" w:sz="4" w:space="0" w:color="auto"/>
              <w:right w:val="single" w:sz="4" w:space="0" w:color="auto"/>
            </w:tcBorders>
            <w:shd w:val="clear" w:color="auto" w:fill="313253"/>
          </w:tcPr>
          <w:p w14:paraId="1C0DA5E5" w14:textId="77777777" w:rsidR="001951AA" w:rsidRPr="001951AA" w:rsidRDefault="001951AA" w:rsidP="001951AA">
            <w:pPr>
              <w:keepLines/>
              <w:spacing w:before="120" w:after="120"/>
              <w:ind w:right="51"/>
              <w:outlineLvl w:val="4"/>
              <w:rPr>
                <w:b/>
                <w:bCs/>
              </w:rPr>
            </w:pPr>
            <w:r w:rsidRPr="001951AA">
              <w:rPr>
                <w:b/>
                <w:bCs/>
              </w:rPr>
              <w:lastRenderedPageBreak/>
              <w:t xml:space="preserve">Terminology </w:t>
            </w:r>
          </w:p>
        </w:tc>
        <w:tc>
          <w:tcPr>
            <w:tcW w:w="6520" w:type="dxa"/>
            <w:tcBorders>
              <w:top w:val="single" w:sz="4" w:space="0" w:color="auto"/>
              <w:left w:val="single" w:sz="4" w:space="0" w:color="auto"/>
              <w:bottom w:val="single" w:sz="4" w:space="0" w:color="auto"/>
              <w:right w:val="single" w:sz="4" w:space="0" w:color="auto"/>
            </w:tcBorders>
            <w:shd w:val="clear" w:color="auto" w:fill="313253"/>
          </w:tcPr>
          <w:p w14:paraId="52A20A7F" w14:textId="77777777" w:rsidR="001951AA" w:rsidRPr="001951AA" w:rsidRDefault="001951AA" w:rsidP="001951AA">
            <w:pPr>
              <w:keepLines/>
              <w:spacing w:before="120" w:after="120"/>
              <w:ind w:right="51"/>
              <w:outlineLvl w:val="4"/>
              <w:rPr>
                <w:b/>
                <w:bCs/>
              </w:rPr>
            </w:pPr>
            <w:r w:rsidRPr="001951AA">
              <w:rPr>
                <w:b/>
                <w:bCs/>
              </w:rPr>
              <w:t>Description</w:t>
            </w:r>
          </w:p>
        </w:tc>
      </w:tr>
      <w:tr w:rsidR="001951AA" w:rsidRPr="00F70B33" w14:paraId="3FD700AD" w14:textId="77777777" w:rsidTr="001951AA">
        <w:trPr>
          <w:tblHeader/>
          <w:jc w:val="center"/>
        </w:trPr>
        <w:tc>
          <w:tcPr>
            <w:tcW w:w="2269" w:type="dxa"/>
          </w:tcPr>
          <w:p w14:paraId="07DB46AC" w14:textId="77777777" w:rsidR="001951AA" w:rsidRDefault="001951AA" w:rsidP="00325820">
            <w:pPr>
              <w:keepLines/>
              <w:spacing w:before="120" w:after="120"/>
              <w:ind w:right="51"/>
              <w:outlineLvl w:val="4"/>
            </w:pPr>
            <w:r>
              <w:t xml:space="preserve">Modification  </w:t>
            </w:r>
          </w:p>
        </w:tc>
        <w:tc>
          <w:tcPr>
            <w:tcW w:w="6520" w:type="dxa"/>
          </w:tcPr>
          <w:p w14:paraId="0232E45E" w14:textId="77777777" w:rsidR="001951AA" w:rsidRDefault="001951AA" w:rsidP="00325820">
            <w:pPr>
              <w:keepLines/>
              <w:spacing w:before="120" w:after="120"/>
              <w:ind w:right="51"/>
              <w:outlineLvl w:val="4"/>
            </w:pPr>
            <w:r>
              <w:t>The two types of modification are:</w:t>
            </w:r>
          </w:p>
          <w:p w14:paraId="756FA03E" w14:textId="77777777" w:rsidR="001951AA" w:rsidRDefault="001951AA" w:rsidP="00356782">
            <w:pPr>
              <w:pStyle w:val="ListParagraph"/>
              <w:keepLines/>
              <w:numPr>
                <w:ilvl w:val="0"/>
                <w:numId w:val="15"/>
              </w:numPr>
              <w:spacing w:before="120"/>
              <w:ind w:right="51"/>
              <w:contextualSpacing/>
              <w:outlineLvl w:val="4"/>
            </w:pPr>
            <w:r>
              <w:t>Enhancement – Works to increase the existing service potential; or</w:t>
            </w:r>
          </w:p>
          <w:p w14:paraId="56637046" w14:textId="77777777" w:rsidR="001951AA" w:rsidRPr="00F70B33" w:rsidRDefault="001951AA" w:rsidP="00356782">
            <w:pPr>
              <w:pStyle w:val="ListParagraph"/>
              <w:keepLines/>
              <w:numPr>
                <w:ilvl w:val="0"/>
                <w:numId w:val="15"/>
              </w:numPr>
              <w:spacing w:before="120"/>
              <w:ind w:right="51"/>
              <w:contextualSpacing/>
              <w:outlineLvl w:val="4"/>
            </w:pPr>
            <w:r>
              <w:t>Refurbishment – Works to restore the asset to an acceptable condition.</w:t>
            </w:r>
          </w:p>
        </w:tc>
      </w:tr>
      <w:tr w:rsidR="001951AA" w:rsidRPr="00F70B33" w14:paraId="53F45FA6" w14:textId="77777777" w:rsidTr="001951AA">
        <w:trPr>
          <w:jc w:val="center"/>
        </w:trPr>
        <w:tc>
          <w:tcPr>
            <w:tcW w:w="2269" w:type="dxa"/>
          </w:tcPr>
          <w:p w14:paraId="3641BF1F" w14:textId="77777777" w:rsidR="001951AA" w:rsidRDefault="001951AA" w:rsidP="00325820">
            <w:pPr>
              <w:keepLines/>
              <w:spacing w:before="120" w:after="120"/>
              <w:ind w:right="51"/>
              <w:outlineLvl w:val="4"/>
            </w:pPr>
            <w:r>
              <w:t xml:space="preserve">Capital Expenditure </w:t>
            </w:r>
          </w:p>
        </w:tc>
        <w:tc>
          <w:tcPr>
            <w:tcW w:w="6520" w:type="dxa"/>
          </w:tcPr>
          <w:p w14:paraId="134DCCAD" w14:textId="77777777" w:rsidR="001951AA" w:rsidRDefault="001951AA" w:rsidP="00325820">
            <w:pPr>
              <w:keepLines/>
              <w:spacing w:before="120" w:after="120"/>
              <w:ind w:right="51"/>
              <w:outlineLvl w:val="4"/>
            </w:pPr>
            <w:r>
              <w:t xml:space="preserve">An expenditure is considered a capital expenditure if the following criteria are met: </w:t>
            </w:r>
          </w:p>
          <w:p w14:paraId="2AB1B61B" w14:textId="77777777" w:rsidR="001951AA" w:rsidRDefault="001951AA" w:rsidP="00356782">
            <w:pPr>
              <w:pStyle w:val="ListParagraph"/>
              <w:keepLines/>
              <w:numPr>
                <w:ilvl w:val="0"/>
                <w:numId w:val="16"/>
              </w:numPr>
              <w:spacing w:before="120"/>
              <w:ind w:right="51"/>
              <w:contextualSpacing/>
              <w:outlineLvl w:val="4"/>
            </w:pPr>
            <w:r>
              <w:t xml:space="preserve">Extends the asset’s economic life; </w:t>
            </w:r>
          </w:p>
          <w:p w14:paraId="7EA3F88E" w14:textId="77777777" w:rsidR="001951AA" w:rsidRDefault="001951AA" w:rsidP="00356782">
            <w:pPr>
              <w:pStyle w:val="ListParagraph"/>
              <w:keepLines/>
              <w:numPr>
                <w:ilvl w:val="0"/>
                <w:numId w:val="16"/>
              </w:numPr>
              <w:spacing w:before="120"/>
              <w:ind w:right="51"/>
              <w:contextualSpacing/>
              <w:outlineLvl w:val="4"/>
            </w:pPr>
            <w:r>
              <w:t>Improves the asset’s service potential; or</w:t>
            </w:r>
          </w:p>
          <w:p w14:paraId="73835C1D" w14:textId="591D7336" w:rsidR="001951AA" w:rsidRDefault="001951AA" w:rsidP="00356782">
            <w:pPr>
              <w:pStyle w:val="ListParagraph"/>
              <w:keepLines/>
              <w:numPr>
                <w:ilvl w:val="0"/>
                <w:numId w:val="16"/>
              </w:numPr>
              <w:spacing w:before="120"/>
              <w:ind w:right="51"/>
              <w:contextualSpacing/>
              <w:outlineLvl w:val="4"/>
            </w:pPr>
            <w:r>
              <w:t>Creates additional attributes for the asset (ie not previously part of asset</w:t>
            </w:r>
          </w:p>
          <w:p w14:paraId="1171C08B" w14:textId="77777777" w:rsidR="001951AA" w:rsidRPr="00F70B33" w:rsidRDefault="001951AA" w:rsidP="00325820">
            <w:pPr>
              <w:keepLines/>
              <w:spacing w:before="120" w:after="120"/>
              <w:ind w:right="51"/>
              <w:outlineLvl w:val="4"/>
            </w:pPr>
            <w:r>
              <w:t xml:space="preserve">All other expenses which do not meet the above criteria are classified as operating expenses. </w:t>
            </w:r>
          </w:p>
        </w:tc>
      </w:tr>
    </w:tbl>
    <w:p w14:paraId="3DD104E5" w14:textId="2A03F4D4" w:rsidR="001951AA" w:rsidRDefault="001951AA" w:rsidP="000026E1">
      <w:pPr>
        <w:spacing w:after="200" w:line="276" w:lineRule="auto"/>
        <w:jc w:val="left"/>
      </w:pPr>
    </w:p>
    <w:p w14:paraId="6F730140" w14:textId="0C553169" w:rsidR="000026E1" w:rsidRPr="001951AA" w:rsidRDefault="001951AA" w:rsidP="000026E1">
      <w:pPr>
        <w:spacing w:after="200" w:line="276" w:lineRule="auto"/>
        <w:jc w:val="left"/>
      </w:pPr>
      <w:r>
        <w:br w:type="page"/>
      </w:r>
    </w:p>
    <w:p w14:paraId="3C3BFFB0" w14:textId="65D6DACF" w:rsidR="0030464E" w:rsidRDefault="001951AA" w:rsidP="00356782">
      <w:pPr>
        <w:pStyle w:val="Heading1"/>
        <w:numPr>
          <w:ilvl w:val="0"/>
          <w:numId w:val="8"/>
        </w:numPr>
      </w:pPr>
      <w:bookmarkStart w:id="13" w:name="_Toc207186095"/>
      <w:bookmarkEnd w:id="11"/>
      <w:r>
        <w:lastRenderedPageBreak/>
        <w:t>EMRC’s Strategic Asset Management Framework</w:t>
      </w:r>
      <w:bookmarkEnd w:id="13"/>
    </w:p>
    <w:p w14:paraId="1321B1AE" w14:textId="1DB7997D" w:rsidR="001951AA" w:rsidRPr="00D307B4" w:rsidRDefault="001951AA" w:rsidP="001951AA">
      <w:bookmarkStart w:id="14" w:name="_Toc58228926"/>
      <w:bookmarkStart w:id="15" w:name="_Toc66703529"/>
      <w:r>
        <w:t xml:space="preserve">This document sets out the approved EMRC’s </w:t>
      </w:r>
      <w:r>
        <w:rPr>
          <w:rFonts w:cs="Helvetica 45 Light"/>
          <w:color w:val="000000"/>
        </w:rPr>
        <w:t>Strategic Asset Management Framework, and</w:t>
      </w:r>
      <w:r>
        <w:t xml:space="preserve"> document should be read </w:t>
      </w:r>
      <w:r w:rsidRPr="0005171A">
        <w:t xml:space="preserve">in conjunction with </w:t>
      </w:r>
      <w:r w:rsidR="00326745">
        <w:t>the EMRC revised 10 Year Strategic Plan 2017 to 2027</w:t>
      </w:r>
      <w:r w:rsidRPr="00523505">
        <w:t>.</w:t>
      </w:r>
    </w:p>
    <w:p w14:paraId="0EAA279F" w14:textId="77777777" w:rsidR="001951AA" w:rsidRPr="00326745" w:rsidRDefault="001951AA" w:rsidP="001951AA">
      <w:pPr>
        <w:pStyle w:val="Pa1"/>
        <w:spacing w:after="160"/>
        <w:jc w:val="both"/>
        <w:rPr>
          <w:rFonts w:asciiTheme="minorHAnsi" w:hAnsiTheme="minorHAnsi"/>
          <w:sz w:val="22"/>
          <w:szCs w:val="22"/>
        </w:rPr>
      </w:pPr>
      <w:r w:rsidRPr="00326745">
        <w:rPr>
          <w:rFonts w:asciiTheme="minorHAnsi" w:hAnsiTheme="minorHAnsi"/>
          <w:sz w:val="22"/>
          <w:szCs w:val="22"/>
        </w:rPr>
        <w:t>EMRC’s Strategic Asset Management Framework integrates policy, plans and operational actions with regard to asset management as shown below.</w:t>
      </w:r>
    </w:p>
    <w:p w14:paraId="1F60F8FB" w14:textId="14ADFB0D" w:rsidR="001951AA" w:rsidRDefault="001951AA" w:rsidP="001951AA">
      <w:pPr>
        <w:rPr>
          <w:rFonts w:cs="Arial"/>
        </w:rPr>
      </w:pPr>
      <w:r>
        <w:rPr>
          <w:rFonts w:cs="Arial"/>
        </w:rPr>
        <w:t xml:space="preserve">The Framework is an element of EMRC’s Integrated Planning Framework and has been developed to ensure that the goals within </w:t>
      </w:r>
      <w:r w:rsidRPr="00523505">
        <w:t>the Strategic Plan</w:t>
      </w:r>
      <w:r>
        <w:rPr>
          <w:rFonts w:cs="Arial"/>
        </w:rPr>
        <w:t xml:space="preserve"> are met. </w:t>
      </w:r>
    </w:p>
    <w:p w14:paraId="1E707044" w14:textId="6542B922" w:rsidR="00116356" w:rsidRPr="00A07CC2" w:rsidRDefault="0071553A" w:rsidP="00A07CC2">
      <w:pPr>
        <w:spacing w:after="200" w:line="276" w:lineRule="auto"/>
        <w:jc w:val="left"/>
        <w:rPr>
          <w:rFonts w:eastAsia="Calibri"/>
        </w:rPr>
      </w:pPr>
      <w:r>
        <w:rPr>
          <w:rFonts w:cs="Arial"/>
          <w:noProof/>
          <w:lang w:eastAsia="en-AU"/>
        </w:rPr>
        <mc:AlternateContent>
          <mc:Choice Requires="wpg">
            <w:drawing>
              <wp:anchor distT="0" distB="0" distL="114300" distR="114300" simplePos="0" relativeHeight="251668480" behindDoc="0" locked="0" layoutInCell="1" allowOverlap="1" wp14:anchorId="57B9534D" wp14:editId="49B95A3C">
                <wp:simplePos x="0" y="0"/>
                <wp:positionH relativeFrom="column">
                  <wp:posOffset>4151596</wp:posOffset>
                </wp:positionH>
                <wp:positionV relativeFrom="paragraph">
                  <wp:posOffset>997419</wp:posOffset>
                </wp:positionV>
                <wp:extent cx="1663700" cy="3827780"/>
                <wp:effectExtent l="0" t="0" r="12700" b="20320"/>
                <wp:wrapNone/>
                <wp:docPr id="24" name="Group 3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63700" cy="3827780"/>
                          <a:chOff x="8141" y="6483"/>
                          <a:chExt cx="2620" cy="6028"/>
                        </a:xfrm>
                      </wpg:grpSpPr>
                      <wps:wsp>
                        <wps:cNvPr id="25" name="AutoShape 365"/>
                        <wps:cNvSpPr>
                          <a:spLocks noChangeArrowheads="1"/>
                        </wps:cNvSpPr>
                        <wps:spPr bwMode="auto">
                          <a:xfrm>
                            <a:off x="8166" y="8010"/>
                            <a:ext cx="2595" cy="1337"/>
                          </a:xfrm>
                          <a:prstGeom prst="roundRect">
                            <a:avLst>
                              <a:gd name="adj" fmla="val 16667"/>
                            </a:avLst>
                          </a:prstGeom>
                          <a:solidFill>
                            <a:schemeClr val="accent6">
                              <a:lumMod val="75000"/>
                              <a:lumOff val="0"/>
                            </a:schemeClr>
                          </a:solidFill>
                          <a:ln w="25400">
                            <a:solidFill>
                              <a:schemeClr val="accent6">
                                <a:lumMod val="75000"/>
                                <a:lumOff val="0"/>
                              </a:schemeClr>
                            </a:solidFill>
                            <a:round/>
                            <a:headEnd/>
                            <a:tailEnd/>
                          </a:ln>
                        </wps:spPr>
                        <wps:txbx>
                          <w:txbxContent>
                            <w:p w14:paraId="39BAA2C3" w14:textId="77777777" w:rsidR="001951AA" w:rsidRPr="00E7084B" w:rsidRDefault="001951AA" w:rsidP="001951AA">
                              <w:pPr>
                                <w:widowControl w:val="0"/>
                                <w:spacing w:after="200" w:line="273" w:lineRule="auto"/>
                                <w:jc w:val="center"/>
                                <w:rPr>
                                  <w:rFonts w:cs="Arial"/>
                                  <w:b/>
                                  <w:color w:val="FFFFFF" w:themeColor="background1"/>
                                </w:rPr>
                              </w:pPr>
                              <w:r w:rsidRPr="00E7084B">
                                <w:rPr>
                                  <w:rFonts w:cs="Arial"/>
                                  <w:b/>
                                  <w:color w:val="FFFFFF" w:themeColor="background1"/>
                                </w:rPr>
                                <w:t>STRATEGIC ASSET MANAGEMENT PLAN</w:t>
                              </w:r>
                            </w:p>
                            <w:p w14:paraId="4802F8AB" w14:textId="77777777" w:rsidR="001951AA" w:rsidRPr="00546BFF" w:rsidRDefault="001951AA" w:rsidP="001951AA">
                              <w:pPr>
                                <w:widowControl w:val="0"/>
                                <w:spacing w:after="200" w:line="273" w:lineRule="auto"/>
                                <w:jc w:val="center"/>
                                <w:rPr>
                                  <w:rFonts w:cs="Arial"/>
                                  <w:b/>
                                </w:rPr>
                              </w:pPr>
                              <w:r w:rsidRPr="00546BFF">
                                <w:rPr>
                                  <w:rFonts w:cs="Arial"/>
                                  <w:b/>
                                </w:rPr>
                                <w:t>(SAMP)</w:t>
                              </w:r>
                            </w:p>
                          </w:txbxContent>
                        </wps:txbx>
                        <wps:bodyPr rot="0" vert="horz" wrap="square" lIns="91440" tIns="45720" rIns="91440" bIns="45720" anchor="t" anchorCtr="0" upright="1">
                          <a:noAutofit/>
                        </wps:bodyPr>
                      </wps:wsp>
                      <wps:wsp>
                        <wps:cNvPr id="26" name="AutoShape 366"/>
                        <wps:cNvSpPr>
                          <a:spLocks noChangeArrowheads="1"/>
                        </wps:cNvSpPr>
                        <wps:spPr bwMode="auto">
                          <a:xfrm>
                            <a:off x="8141" y="9867"/>
                            <a:ext cx="2620" cy="1302"/>
                          </a:xfrm>
                          <a:prstGeom prst="roundRect">
                            <a:avLst>
                              <a:gd name="adj" fmla="val 16667"/>
                            </a:avLst>
                          </a:prstGeom>
                          <a:solidFill>
                            <a:schemeClr val="accent6">
                              <a:lumMod val="75000"/>
                              <a:lumOff val="0"/>
                            </a:schemeClr>
                          </a:solidFill>
                          <a:ln w="25400">
                            <a:solidFill>
                              <a:schemeClr val="accent6">
                                <a:lumMod val="75000"/>
                                <a:lumOff val="0"/>
                              </a:schemeClr>
                            </a:solidFill>
                            <a:round/>
                            <a:headEnd/>
                            <a:tailEnd/>
                          </a:ln>
                        </wps:spPr>
                        <wps:txbx>
                          <w:txbxContent>
                            <w:p w14:paraId="70B105FF" w14:textId="77777777" w:rsidR="001951AA" w:rsidRPr="00E7084B" w:rsidRDefault="001951AA" w:rsidP="001951AA">
                              <w:pPr>
                                <w:widowControl w:val="0"/>
                                <w:spacing w:after="200" w:line="273" w:lineRule="auto"/>
                                <w:jc w:val="center"/>
                                <w:rPr>
                                  <w:rFonts w:cs="Arial"/>
                                  <w:color w:val="FFFFFF" w:themeColor="background1"/>
                                  <w:sz w:val="20"/>
                                </w:rPr>
                              </w:pPr>
                              <w:r w:rsidRPr="00E7084B">
                                <w:rPr>
                                  <w:rFonts w:cs="Arial"/>
                                  <w:b/>
                                  <w:color w:val="FFFFFF" w:themeColor="background1"/>
                                  <w:sz w:val="20"/>
                                </w:rPr>
                                <w:t>OPERATIONAL ASSET</w:t>
                              </w:r>
                              <w:r w:rsidRPr="00E7084B">
                                <w:rPr>
                                  <w:rFonts w:cs="Arial"/>
                                  <w:color w:val="FFFFFF" w:themeColor="background1"/>
                                  <w:sz w:val="20"/>
                                </w:rPr>
                                <w:t xml:space="preserve"> </w:t>
                              </w:r>
                              <w:r w:rsidRPr="00E7084B">
                                <w:rPr>
                                  <w:rFonts w:cs="Arial"/>
                                  <w:b/>
                                  <w:color w:val="FFFFFF" w:themeColor="background1"/>
                                  <w:sz w:val="20"/>
                                </w:rPr>
                                <w:t>MANAGEMENT PLAN</w:t>
                              </w:r>
                            </w:p>
                            <w:p w14:paraId="523FEB71" w14:textId="77777777" w:rsidR="001951AA" w:rsidRPr="00500B05" w:rsidRDefault="001951AA" w:rsidP="001951AA">
                              <w:pPr>
                                <w:widowControl w:val="0"/>
                                <w:jc w:val="center"/>
                                <w:rPr>
                                  <w:rFonts w:cs="Arial"/>
                                  <w:b/>
                                  <w:sz w:val="20"/>
                                </w:rPr>
                              </w:pPr>
                              <w:r w:rsidRPr="00500B05">
                                <w:rPr>
                                  <w:rFonts w:cs="Arial"/>
                                  <w:b/>
                                  <w:sz w:val="20"/>
                                </w:rPr>
                                <w:t>(OAMP)</w:t>
                              </w:r>
                            </w:p>
                          </w:txbxContent>
                        </wps:txbx>
                        <wps:bodyPr rot="0" vert="horz" wrap="square" lIns="91440" tIns="45720" rIns="91440" bIns="45720" anchor="t" anchorCtr="0" upright="1">
                          <a:noAutofit/>
                        </wps:bodyPr>
                      </wps:wsp>
                      <wps:wsp>
                        <wps:cNvPr id="27" name="AutoShape 367"/>
                        <wps:cNvSpPr>
                          <a:spLocks noChangeArrowheads="1"/>
                        </wps:cNvSpPr>
                        <wps:spPr bwMode="auto">
                          <a:xfrm>
                            <a:off x="8141" y="11821"/>
                            <a:ext cx="2595" cy="690"/>
                          </a:xfrm>
                          <a:prstGeom prst="roundRect">
                            <a:avLst>
                              <a:gd name="adj" fmla="val 16667"/>
                            </a:avLst>
                          </a:prstGeom>
                          <a:solidFill>
                            <a:schemeClr val="accent6">
                              <a:lumMod val="75000"/>
                              <a:lumOff val="0"/>
                            </a:schemeClr>
                          </a:solidFill>
                          <a:ln w="25400">
                            <a:solidFill>
                              <a:schemeClr val="accent6">
                                <a:lumMod val="75000"/>
                                <a:lumOff val="0"/>
                              </a:schemeClr>
                            </a:solidFill>
                            <a:round/>
                            <a:headEnd/>
                            <a:tailEnd/>
                          </a:ln>
                        </wps:spPr>
                        <wps:txbx>
                          <w:txbxContent>
                            <w:p w14:paraId="7A0EAB1E" w14:textId="77777777" w:rsidR="001951AA" w:rsidRPr="00E7084B" w:rsidRDefault="001951AA" w:rsidP="001951AA">
                              <w:pPr>
                                <w:widowControl w:val="0"/>
                                <w:spacing w:after="200" w:line="273" w:lineRule="auto"/>
                                <w:jc w:val="center"/>
                                <w:rPr>
                                  <w:rFonts w:cs="Arial"/>
                                  <w:color w:val="FFFFFF" w:themeColor="background1"/>
                                </w:rPr>
                              </w:pPr>
                              <w:r w:rsidRPr="00E7084B">
                                <w:rPr>
                                  <w:rFonts w:cs="Arial"/>
                                  <w:b/>
                                  <w:color w:val="FFFFFF" w:themeColor="background1"/>
                                </w:rPr>
                                <w:t>EVALUATION</w:t>
                              </w:r>
                            </w:p>
                          </w:txbxContent>
                        </wps:txbx>
                        <wps:bodyPr rot="0" vert="horz" wrap="square" lIns="91440" tIns="45720" rIns="91440" bIns="45720" anchor="t" anchorCtr="0" upright="1">
                          <a:noAutofit/>
                        </wps:bodyPr>
                      </wps:wsp>
                      <wps:wsp>
                        <wps:cNvPr id="28" name="AutoShape 368"/>
                        <wps:cNvCnPr>
                          <a:cxnSpLocks noChangeShapeType="1"/>
                        </wps:cNvCnPr>
                        <wps:spPr bwMode="auto">
                          <a:xfrm>
                            <a:off x="9430" y="7495"/>
                            <a:ext cx="0" cy="396"/>
                          </a:xfrm>
                          <a:prstGeom prst="straightConnector1">
                            <a:avLst/>
                          </a:prstGeom>
                          <a:noFill/>
                          <a:ln w="25400">
                            <a:solidFill>
                              <a:schemeClr val="accent6">
                                <a:lumMod val="75000"/>
                                <a:lumOff val="0"/>
                              </a:schemeClr>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9" name="AutoShape 369"/>
                        <wps:cNvCnPr>
                          <a:cxnSpLocks noChangeShapeType="1"/>
                        </wps:cNvCnPr>
                        <wps:spPr bwMode="auto">
                          <a:xfrm>
                            <a:off x="9430" y="9446"/>
                            <a:ext cx="0" cy="370"/>
                          </a:xfrm>
                          <a:prstGeom prst="straightConnector1">
                            <a:avLst/>
                          </a:prstGeom>
                          <a:noFill/>
                          <a:ln w="25400">
                            <a:solidFill>
                              <a:schemeClr val="accent6">
                                <a:lumMod val="75000"/>
                                <a:lumOff val="0"/>
                              </a:schemeClr>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0" name="AutoShape 370"/>
                        <wps:cNvCnPr>
                          <a:cxnSpLocks noChangeShapeType="1"/>
                        </wps:cNvCnPr>
                        <wps:spPr bwMode="auto">
                          <a:xfrm>
                            <a:off x="9454" y="11283"/>
                            <a:ext cx="0" cy="418"/>
                          </a:xfrm>
                          <a:prstGeom prst="straightConnector1">
                            <a:avLst/>
                          </a:prstGeom>
                          <a:noFill/>
                          <a:ln w="25400">
                            <a:solidFill>
                              <a:schemeClr val="accent6">
                                <a:lumMod val="75000"/>
                                <a:lumOff val="0"/>
                              </a:schemeClr>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1" name="AutoShape 371"/>
                        <wps:cNvSpPr>
                          <a:spLocks noChangeArrowheads="1"/>
                        </wps:cNvSpPr>
                        <wps:spPr bwMode="auto">
                          <a:xfrm>
                            <a:off x="8166" y="6483"/>
                            <a:ext cx="2595" cy="900"/>
                          </a:xfrm>
                          <a:prstGeom prst="roundRect">
                            <a:avLst>
                              <a:gd name="adj" fmla="val 16667"/>
                            </a:avLst>
                          </a:prstGeom>
                          <a:solidFill>
                            <a:schemeClr val="accent6">
                              <a:lumMod val="75000"/>
                              <a:lumOff val="0"/>
                            </a:schemeClr>
                          </a:solidFill>
                          <a:ln w="25400">
                            <a:solidFill>
                              <a:schemeClr val="accent6">
                                <a:lumMod val="75000"/>
                                <a:lumOff val="0"/>
                              </a:schemeClr>
                            </a:solidFill>
                            <a:round/>
                            <a:headEnd/>
                            <a:tailEnd/>
                          </a:ln>
                        </wps:spPr>
                        <wps:txbx>
                          <w:txbxContent>
                            <w:p w14:paraId="48091D31" w14:textId="77777777" w:rsidR="001951AA" w:rsidRPr="00E7084B" w:rsidRDefault="001951AA" w:rsidP="001951AA">
                              <w:pPr>
                                <w:widowControl w:val="0"/>
                                <w:spacing w:after="200" w:line="273" w:lineRule="auto"/>
                                <w:jc w:val="center"/>
                                <w:rPr>
                                  <w:rFonts w:cs="Arial"/>
                                  <w:b/>
                                  <w:color w:val="FFFFFF" w:themeColor="background1"/>
                                  <w:sz w:val="20"/>
                                </w:rPr>
                              </w:pPr>
                              <w:r w:rsidRPr="00E7084B">
                                <w:rPr>
                                  <w:rFonts w:cs="Arial"/>
                                  <w:b/>
                                  <w:color w:val="FFFFFF" w:themeColor="background1"/>
                                  <w:sz w:val="20"/>
                                </w:rPr>
                                <w:t>ASSET MANAGEMENT POLICY</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B9534D" id="Group 364" o:spid="_x0000_s1030" style="position:absolute;margin-left:326.9pt;margin-top:78.55pt;width:131pt;height:301.4pt;z-index:251668480" coordorigin="8141,6483" coordsize="2620,60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">
                <v:roundrect id="AutoShape 365" o:spid="_x0000_s1031" style="position:absolute;left:8166;top:8010;width:2595;height:133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" fillcolor="#576d2d [2409]" strokecolor="#576d2d [2409]" strokeweight="2pt">
                  <v:textbox>
                    <w:txbxContent>
                      <w:p w14:paraId="39BAA2C3" w14:textId="77777777" w:rsidR="001951AA" w:rsidRPr="00E7084B" w:rsidRDefault="001951AA" w:rsidP="001951AA">
                        <w:pPr>
                          <w:widowControl w:val="0"/>
                          <w:spacing w:after="200" w:line="273" w:lineRule="auto"/>
                          <w:jc w:val="center"/>
                          <w:rPr>
                            <w:rFonts w:cs="Arial"/>
                            <w:b/>
                            <w:color w:val="FFFFFF" w:themeColor="background1"/>
                          </w:rPr>
                        </w:pPr>
                        <w:r w:rsidRPr="00E7084B">
                          <w:rPr>
                            <w:rFonts w:cs="Arial"/>
                            <w:b/>
                            <w:color w:val="FFFFFF" w:themeColor="background1"/>
                          </w:rPr>
                          <w:t>STRATEGIC ASSET MANAGEMENT PLAN</w:t>
                        </w:r>
                      </w:p>
                      <w:p w14:paraId="4802F8AB" w14:textId="77777777" w:rsidR="001951AA" w:rsidRPr="00546BFF" w:rsidRDefault="001951AA" w:rsidP="001951AA">
                        <w:pPr>
                          <w:widowControl w:val="0"/>
                          <w:spacing w:after="200" w:line="273" w:lineRule="auto"/>
                          <w:jc w:val="center"/>
                          <w:rPr>
                            <w:rFonts w:cs="Arial"/>
                            <w:b/>
                          </w:rPr>
                        </w:pPr>
                        <w:r w:rsidRPr="00546BFF">
                          <w:rPr>
                            <w:rFonts w:cs="Arial"/>
                            <w:b/>
                          </w:rPr>
                          <w:t>(SAMP)</w:t>
                        </w:r>
                      </w:p>
                    </w:txbxContent>
                  </v:textbox>
                </v:roundrect>
                <v:roundrect id="AutoShape 366" o:spid="_x0000_s1032" style="position:absolute;left:8141;top:9867;width:2620;height:1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" fillcolor="#576d2d [2409]" strokecolor="#576d2d [2409]" strokeweight="2pt">
                  <v:textbox>
                    <w:txbxContent>
                      <w:p w14:paraId="70B105FF" w14:textId="77777777" w:rsidR="001951AA" w:rsidRPr="00E7084B" w:rsidRDefault="001951AA" w:rsidP="001951AA">
                        <w:pPr>
                          <w:widowControl w:val="0"/>
                          <w:spacing w:after="200" w:line="273" w:lineRule="auto"/>
                          <w:jc w:val="center"/>
                          <w:rPr>
                            <w:rFonts w:cs="Arial"/>
                            <w:color w:val="FFFFFF" w:themeColor="background1"/>
                            <w:sz w:val="20"/>
                          </w:rPr>
                        </w:pPr>
                        <w:r w:rsidRPr="00E7084B">
                          <w:rPr>
                            <w:rFonts w:cs="Arial"/>
                            <w:b/>
                            <w:color w:val="FFFFFF" w:themeColor="background1"/>
                            <w:sz w:val="20"/>
                          </w:rPr>
                          <w:t>OPERATIONAL ASSET</w:t>
                        </w:r>
                        <w:r w:rsidRPr="00E7084B">
                          <w:rPr>
                            <w:rFonts w:cs="Arial"/>
                            <w:color w:val="FFFFFF" w:themeColor="background1"/>
                            <w:sz w:val="20"/>
                          </w:rPr>
                          <w:t xml:space="preserve"> </w:t>
                        </w:r>
                        <w:r w:rsidRPr="00E7084B">
                          <w:rPr>
                            <w:rFonts w:cs="Arial"/>
                            <w:b/>
                            <w:color w:val="FFFFFF" w:themeColor="background1"/>
                            <w:sz w:val="20"/>
                          </w:rPr>
                          <w:t>MANAGEMENT PLAN</w:t>
                        </w:r>
                      </w:p>
                      <w:p w14:paraId="523FEB71" w14:textId="77777777" w:rsidR="001951AA" w:rsidRPr="00500B05" w:rsidRDefault="001951AA" w:rsidP="001951AA">
                        <w:pPr>
                          <w:widowControl w:val="0"/>
                          <w:jc w:val="center"/>
                          <w:rPr>
                            <w:rFonts w:cs="Arial"/>
                            <w:b/>
                            <w:sz w:val="20"/>
                          </w:rPr>
                        </w:pPr>
                        <w:r w:rsidRPr="00500B05">
                          <w:rPr>
                            <w:rFonts w:cs="Arial"/>
                            <w:b/>
                            <w:sz w:val="20"/>
                          </w:rPr>
                          <w:t>(OAMP)</w:t>
                        </w:r>
                      </w:p>
                    </w:txbxContent>
                  </v:textbox>
                </v:roundrect>
                <v:roundrect id="AutoShape 367" o:spid="_x0000_s1033" style="position:absolute;left:8141;top:11821;width:2595;height:6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" fillcolor="#576d2d [2409]" strokecolor="#576d2d [2409]" strokeweight="2pt">
                  <v:textbox>
                    <w:txbxContent>
                      <w:p w14:paraId="7A0EAB1E" w14:textId="77777777" w:rsidR="001951AA" w:rsidRPr="00E7084B" w:rsidRDefault="001951AA" w:rsidP="001951AA">
                        <w:pPr>
                          <w:widowControl w:val="0"/>
                          <w:spacing w:after="200" w:line="273" w:lineRule="auto"/>
                          <w:jc w:val="center"/>
                          <w:rPr>
                            <w:rFonts w:cs="Arial"/>
                            <w:color w:val="FFFFFF" w:themeColor="background1"/>
                          </w:rPr>
                        </w:pPr>
                        <w:r w:rsidRPr="00E7084B">
                          <w:rPr>
                            <w:rFonts w:cs="Arial"/>
                            <w:b/>
                            <w:color w:val="FFFFFF" w:themeColor="background1"/>
                          </w:rPr>
                          <w:t>EVALUATION</w:t>
                        </w:r>
                      </w:p>
                    </w:txbxContent>
                  </v:textbox>
                </v:roundrect>
                <v:shapetype id="_x0000_t32" coordsize="21600,21600" o:spt="32" o:oned="t" path="m,l21600,21600e" filled="f">
                  <v:path arrowok="t" fillok="f" o:connecttype="none"/>
                  <o:lock v:ext="edit" shapetype="t"/>
                </v:shapetype>
                <v:shape id="AutoShape 368" o:spid="_x0000_s1034" type="#_x0000_t32" style="position:absolute;left:9430;top:7495;width:0;height:3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" strokecolor="#576d2d [2409]" strokeweight="2pt">
                  <v:stroke startarrow="block" endarrow="block"/>
                </v:shape>
                <v:shape id="AutoShape 369" o:spid="_x0000_s1035" type="#_x0000_t32" style="position:absolute;left:9430;top:9446;width:0;height:3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" strokecolor="#576d2d [2409]" strokeweight="2pt">
                  <v:stroke startarrow="block" endarrow="block"/>
                </v:shape>
                <v:shape id="AutoShape 370" o:spid="_x0000_s1036" type="#_x0000_t32" style="position:absolute;left:9454;top:11283;width:0;height:4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" strokecolor="#576d2d [2409]" strokeweight="2pt">
                  <v:stroke startarrow="block" endarrow="block"/>
                </v:shape>
                <v:roundrect id="AutoShape 371" o:spid="_x0000_s1037" style="position:absolute;left:8166;top:6483;width:2595;height:90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" fillcolor="#576d2d [2409]" strokecolor="#576d2d [2409]" strokeweight="2pt">
                  <v:textbox>
                    <w:txbxContent>
                      <w:p w14:paraId="48091D31" w14:textId="77777777" w:rsidR="001951AA" w:rsidRPr="00E7084B" w:rsidRDefault="001951AA" w:rsidP="001951AA">
                        <w:pPr>
                          <w:widowControl w:val="0"/>
                          <w:spacing w:after="200" w:line="273" w:lineRule="auto"/>
                          <w:jc w:val="center"/>
                          <w:rPr>
                            <w:rFonts w:cs="Arial"/>
                            <w:b/>
                            <w:color w:val="FFFFFF" w:themeColor="background1"/>
                            <w:sz w:val="20"/>
                          </w:rPr>
                        </w:pPr>
                        <w:r w:rsidRPr="00E7084B">
                          <w:rPr>
                            <w:rFonts w:cs="Arial"/>
                            <w:b/>
                            <w:color w:val="FFFFFF" w:themeColor="background1"/>
                            <w:sz w:val="20"/>
                          </w:rPr>
                          <w:t>ASSET MANAGEMENT POLICY</w:t>
                        </w:r>
                      </w:p>
                    </w:txbxContent>
                  </v:textbox>
                </v:roundrect>
              </v:group>
            </w:pict>
          </mc:Fallback>
        </mc:AlternateContent>
      </w:r>
      <w:r w:rsidR="001951AA">
        <w:rPr>
          <w:rFonts w:cs="Arial"/>
          <w:b/>
          <w:noProof/>
          <w:sz w:val="24"/>
          <w:szCs w:val="24"/>
          <w:lang w:eastAsia="en-AU"/>
        </w:rPr>
        <mc:AlternateContent>
          <mc:Choice Requires="wpg">
            <w:drawing>
              <wp:anchor distT="0" distB="0" distL="114300" distR="114300" simplePos="0" relativeHeight="251665408" behindDoc="0" locked="0" layoutInCell="1" allowOverlap="1" wp14:anchorId="007A3E63" wp14:editId="76CCF48F">
                <wp:simplePos x="0" y="0"/>
                <wp:positionH relativeFrom="column">
                  <wp:posOffset>1570990</wp:posOffset>
                </wp:positionH>
                <wp:positionV relativeFrom="paragraph">
                  <wp:posOffset>4309745</wp:posOffset>
                </wp:positionV>
                <wp:extent cx="2290445" cy="1455420"/>
                <wp:effectExtent l="0" t="0" r="14605" b="11430"/>
                <wp:wrapNone/>
                <wp:docPr id="13" name="Group 3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0445" cy="1455420"/>
                          <a:chOff x="3968" y="12352"/>
                          <a:chExt cx="3607" cy="2292"/>
                        </a:xfrm>
                      </wpg:grpSpPr>
                      <wps:wsp>
                        <wps:cNvPr id="14" name="AutoShape 358"/>
                        <wps:cNvSpPr>
                          <a:spLocks noChangeArrowheads="1"/>
                        </wps:cNvSpPr>
                        <wps:spPr bwMode="auto">
                          <a:xfrm>
                            <a:off x="4702" y="13552"/>
                            <a:ext cx="2595" cy="1092"/>
                          </a:xfrm>
                          <a:prstGeom prst="roundRect">
                            <a:avLst>
                              <a:gd name="adj" fmla="val 16667"/>
                            </a:avLst>
                          </a:prstGeom>
                          <a:solidFill>
                            <a:srgbClr val="8064A2"/>
                          </a:solidFill>
                          <a:ln w="25400">
                            <a:solidFill>
                              <a:srgbClr val="000000"/>
                            </a:solidFill>
                            <a:round/>
                            <a:headEnd/>
                            <a:tailEnd/>
                          </a:ln>
                        </wps:spPr>
                        <wps:txbx>
                          <w:txbxContent>
                            <w:p w14:paraId="3745A4EA" w14:textId="05D473B0" w:rsidR="00821326" w:rsidRPr="00821326" w:rsidRDefault="001951AA" w:rsidP="00821326">
                              <w:pPr>
                                <w:widowControl w:val="0"/>
                                <w:spacing w:after="200" w:line="273" w:lineRule="auto"/>
                                <w:jc w:val="center"/>
                                <w:rPr>
                                  <w:rFonts w:ascii="Arial" w:eastAsia="Times New Roman" w:hAnsi="Arial" w:cs="Arial"/>
                                  <w:b/>
                                  <w:color w:val="FFFFFF" w:themeColor="background1"/>
                                  <w:szCs w:val="20"/>
                                </w:rPr>
                              </w:pPr>
                              <w:r w:rsidRPr="00821326">
                                <w:rPr>
                                  <w:rFonts w:ascii="Arial" w:eastAsia="Times New Roman" w:hAnsi="Arial" w:cs="Arial"/>
                                  <w:b/>
                                  <w:color w:val="FFFFFF" w:themeColor="background1"/>
                                  <w:szCs w:val="20"/>
                                </w:rPr>
                                <w:t>ANNUAL REPORT</w:t>
                              </w:r>
                            </w:p>
                          </w:txbxContent>
                        </wps:txbx>
                        <wps:bodyPr rot="0" vert="horz" wrap="square" lIns="91440" tIns="45720" rIns="91440" bIns="45720" anchor="t" anchorCtr="0" upright="1">
                          <a:noAutofit/>
                        </wps:bodyPr>
                      </wps:wsp>
                      <wps:wsp>
                        <wps:cNvPr id="15" name="AutoShape 359"/>
                        <wps:cNvCnPr>
                          <a:cxnSpLocks noChangeShapeType="1"/>
                        </wps:cNvCnPr>
                        <wps:spPr bwMode="auto">
                          <a:xfrm>
                            <a:off x="3968" y="12352"/>
                            <a:ext cx="1942" cy="539"/>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 name="AutoShape 360"/>
                        <wps:cNvCnPr>
                          <a:cxnSpLocks noChangeShapeType="1"/>
                        </wps:cNvCnPr>
                        <wps:spPr bwMode="auto">
                          <a:xfrm>
                            <a:off x="5910" y="12891"/>
                            <a:ext cx="15" cy="661"/>
                          </a:xfrm>
                          <a:prstGeom prst="straightConnector1">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AutoShape 361"/>
                        <wps:cNvCnPr>
                          <a:cxnSpLocks noChangeShapeType="1"/>
                        </wps:cNvCnPr>
                        <wps:spPr bwMode="auto">
                          <a:xfrm flipV="1">
                            <a:off x="5925" y="12472"/>
                            <a:ext cx="1650" cy="419"/>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07A3E63" id="Group 357" o:spid="_x0000_s1038" style="position:absolute;margin-left:123.7pt;margin-top:339.35pt;width:180.35pt;height:114.6pt;z-index:251665408" coordorigin="3968,12352" coordsize="3607,2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">
                <v:roundrect id="AutoShape 358" o:spid="_x0000_s1039" style="position:absolute;left:4702;top:13552;width:2595;height:109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" fillcolor="#8064a2" strokeweight="2pt">
                  <v:textbox>
                    <w:txbxContent>
                      <w:p w14:paraId="3745A4EA" w14:textId="05D473B0" w:rsidR="00821326" w:rsidRPr="00821326" w:rsidRDefault="001951AA" w:rsidP="00821326">
                        <w:pPr>
                          <w:widowControl w:val="0"/>
                          <w:spacing w:after="200" w:line="273" w:lineRule="auto"/>
                          <w:jc w:val="center"/>
                          <w:rPr>
                            <w:rFonts w:ascii="Arial" w:eastAsia="Times New Roman" w:hAnsi="Arial" w:cs="Arial"/>
                            <w:b/>
                            <w:color w:val="FFFFFF" w:themeColor="background1"/>
                            <w:szCs w:val="20"/>
                          </w:rPr>
                        </w:pPr>
                        <w:r w:rsidRPr="00821326">
                          <w:rPr>
                            <w:rFonts w:ascii="Arial" w:eastAsia="Times New Roman" w:hAnsi="Arial" w:cs="Arial"/>
                            <w:b/>
                            <w:color w:val="FFFFFF" w:themeColor="background1"/>
                            <w:szCs w:val="20"/>
                          </w:rPr>
                          <w:t>ANNUAL REPORT</w:t>
                        </w:r>
                      </w:p>
                    </w:txbxContent>
                  </v:textbox>
                </v:roundrect>
                <v:shape id="AutoShape 359" o:spid="_x0000_s1040" type="#_x0000_t32" style="position:absolute;left:3968;top:12352;width:1942;height:5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" strokeweight="2pt"/>
                <v:shape id="AutoShape 360" o:spid="_x0000_s1041" type="#_x0000_t32" style="position:absolute;left:5910;top:12891;width:15;height:6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" strokeweight="2pt">
                  <v:stroke endarrow="block"/>
                </v:shape>
                <v:shape id="AutoShape 361" o:spid="_x0000_s1042" type="#_x0000_t32" style="position:absolute;left:5925;top:12472;width:1650;height:41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" strokeweight="2pt"/>
              </v:group>
            </w:pict>
          </mc:Fallback>
        </mc:AlternateContent>
      </w:r>
      <w:r w:rsidR="001951AA">
        <w:rPr>
          <w:rFonts w:cs="Arial"/>
          <w:noProof/>
          <w:lang w:eastAsia="en-AU"/>
        </w:rPr>
        <mc:AlternateContent>
          <mc:Choice Requires="wps">
            <w:drawing>
              <wp:anchor distT="0" distB="0" distL="114300" distR="114300" simplePos="0" relativeHeight="251671552" behindDoc="0" locked="0" layoutInCell="1" allowOverlap="1" wp14:anchorId="6A524973" wp14:editId="71D8A780">
                <wp:simplePos x="0" y="0"/>
                <wp:positionH relativeFrom="column">
                  <wp:posOffset>2711450</wp:posOffset>
                </wp:positionH>
                <wp:positionV relativeFrom="paragraph">
                  <wp:posOffset>1593850</wp:posOffset>
                </wp:positionV>
                <wp:extent cx="0" cy="823595"/>
                <wp:effectExtent l="57150" t="38100" r="57150" b="52705"/>
                <wp:wrapNone/>
                <wp:docPr id="19" name="AutoShape 3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3595"/>
                        </a:xfrm>
                        <a:prstGeom prst="straightConnector1">
                          <a:avLst/>
                        </a:prstGeom>
                        <a:noFill/>
                        <a:ln w="28575">
                          <a:solidFill>
                            <a:schemeClr val="accent3">
                              <a:lumMod val="100000"/>
                              <a:lumOff val="0"/>
                            </a:schemeClr>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C61BA1" id="AutoShape 374" o:spid="_x0000_s1026" type="#_x0000_t32" style="position:absolute;margin-left:213.5pt;margin-top:125.5pt;width:0;height:64.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" strokecolor="#6b6c6d [3206]" strokeweight="2.25pt">
                <v:stroke startarrow="block" endarrow="block"/>
              </v:shape>
            </w:pict>
          </mc:Fallback>
        </mc:AlternateContent>
      </w:r>
      <w:r w:rsidR="001951AA">
        <w:rPr>
          <w:rFonts w:cs="Arial"/>
          <w:b/>
          <w:noProof/>
          <w:sz w:val="24"/>
          <w:szCs w:val="24"/>
          <w:lang w:eastAsia="en-AU"/>
        </w:rPr>
        <mc:AlternateContent>
          <mc:Choice Requires="wpg">
            <w:drawing>
              <wp:anchor distT="0" distB="0" distL="114300" distR="114300" simplePos="0" relativeHeight="251661312" behindDoc="0" locked="0" layoutInCell="1" allowOverlap="1" wp14:anchorId="1F9EDAD4" wp14:editId="52D3B413">
                <wp:simplePos x="0" y="0"/>
                <wp:positionH relativeFrom="column">
                  <wp:posOffset>-294005</wp:posOffset>
                </wp:positionH>
                <wp:positionV relativeFrom="paragraph">
                  <wp:posOffset>1240790</wp:posOffset>
                </wp:positionV>
                <wp:extent cx="1638300" cy="3013075"/>
                <wp:effectExtent l="0" t="0" r="19050" b="15875"/>
                <wp:wrapNone/>
                <wp:docPr id="32" name="Group 3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0" cy="3013075"/>
                          <a:chOff x="795" y="6634"/>
                          <a:chExt cx="2580" cy="4745"/>
                        </a:xfrm>
                      </wpg:grpSpPr>
                      <wps:wsp>
                        <wps:cNvPr id="33" name="AutoShape 351"/>
                        <wps:cNvSpPr>
                          <a:spLocks noChangeArrowheads="1"/>
                        </wps:cNvSpPr>
                        <wps:spPr bwMode="auto">
                          <a:xfrm>
                            <a:off x="795" y="6634"/>
                            <a:ext cx="2580" cy="1575"/>
                          </a:xfrm>
                          <a:prstGeom prst="roundRect">
                            <a:avLst>
                              <a:gd name="adj" fmla="val 16667"/>
                            </a:avLst>
                          </a:prstGeom>
                          <a:solidFill>
                            <a:schemeClr val="tx2">
                              <a:lumMod val="100000"/>
                              <a:lumOff val="0"/>
                            </a:schemeClr>
                          </a:solidFill>
                          <a:ln w="9525">
                            <a:solidFill>
                              <a:schemeClr val="accent1">
                                <a:lumMod val="20000"/>
                                <a:lumOff val="80000"/>
                              </a:schemeClr>
                            </a:solidFill>
                            <a:round/>
                            <a:headEnd/>
                            <a:tailEnd/>
                          </a:ln>
                        </wps:spPr>
                        <wps:txbx>
                          <w:txbxContent>
                            <w:p w14:paraId="7ED12B89" w14:textId="77777777" w:rsidR="001951AA" w:rsidRPr="002F11B8" w:rsidRDefault="001951AA" w:rsidP="001951AA">
                              <w:pPr>
                                <w:widowControl w:val="0"/>
                                <w:jc w:val="center"/>
                                <w:rPr>
                                  <w:rFonts w:cs="Arial"/>
                                  <w:b/>
                                  <w:color w:val="FFFFFF" w:themeColor="background1"/>
                                </w:rPr>
                              </w:pPr>
                              <w:r w:rsidRPr="0005171A">
                                <w:rPr>
                                  <w:rFonts w:cs="Arial"/>
                                  <w:b/>
                                  <w:color w:val="FFFFFF" w:themeColor="background1"/>
                                </w:rPr>
                                <w:t>EMRC 201</w:t>
                              </w:r>
                              <w:r>
                                <w:rPr>
                                  <w:rFonts w:cs="Arial"/>
                                  <w:b/>
                                  <w:color w:val="FFFFFF" w:themeColor="background1"/>
                                </w:rPr>
                                <w:t>7</w:t>
                              </w:r>
                              <w:r w:rsidRPr="0005171A">
                                <w:rPr>
                                  <w:rFonts w:cs="Arial"/>
                                  <w:b/>
                                  <w:color w:val="FFFFFF" w:themeColor="background1"/>
                                </w:rPr>
                                <w:t xml:space="preserve"> to 202</w:t>
                              </w:r>
                              <w:r>
                                <w:rPr>
                                  <w:rFonts w:cs="Arial"/>
                                  <w:b/>
                                  <w:color w:val="FFFFFF" w:themeColor="background1"/>
                                </w:rPr>
                                <w:t>7</w:t>
                              </w:r>
                            </w:p>
                            <w:p w14:paraId="398019C9" w14:textId="77777777" w:rsidR="001951AA" w:rsidRPr="002F11B8" w:rsidRDefault="001951AA" w:rsidP="001951AA">
                              <w:pPr>
                                <w:widowControl w:val="0"/>
                                <w:jc w:val="center"/>
                                <w:rPr>
                                  <w:rFonts w:cs="Arial"/>
                                  <w:b/>
                                  <w:color w:val="FFFFFF" w:themeColor="background1"/>
                                </w:rPr>
                              </w:pPr>
                            </w:p>
                            <w:p w14:paraId="026A06F8" w14:textId="77777777" w:rsidR="001951AA" w:rsidRDefault="001951AA" w:rsidP="001951AA">
                              <w:pPr>
                                <w:widowControl w:val="0"/>
                                <w:jc w:val="center"/>
                                <w:rPr>
                                  <w:rFonts w:cs="Arial"/>
                                  <w:b/>
                                  <w:color w:val="FFFFFF" w:themeColor="background1"/>
                                </w:rPr>
                              </w:pPr>
                              <w:r w:rsidRPr="002F11B8">
                                <w:rPr>
                                  <w:rFonts w:cs="Arial"/>
                                  <w:b/>
                                  <w:color w:val="FFFFFF" w:themeColor="background1"/>
                                </w:rPr>
                                <w:t xml:space="preserve">10 YEAR </w:t>
                              </w:r>
                            </w:p>
                            <w:p w14:paraId="389A0E7E" w14:textId="77777777" w:rsidR="001951AA" w:rsidRDefault="001951AA" w:rsidP="001951AA">
                              <w:pPr>
                                <w:widowControl w:val="0"/>
                                <w:jc w:val="center"/>
                                <w:rPr>
                                  <w:rFonts w:cs="Arial"/>
                                  <w:b/>
                                  <w:color w:val="FFFFFF" w:themeColor="background1"/>
                                </w:rPr>
                              </w:pPr>
                            </w:p>
                            <w:p w14:paraId="092ACCAC" w14:textId="77777777" w:rsidR="001951AA" w:rsidRPr="002F11B8" w:rsidRDefault="001951AA" w:rsidP="001951AA">
                              <w:pPr>
                                <w:widowControl w:val="0"/>
                                <w:jc w:val="center"/>
                                <w:rPr>
                                  <w:rFonts w:cs="Arial"/>
                                  <w:b/>
                                  <w:color w:val="FFFFFF" w:themeColor="background1"/>
                                </w:rPr>
                              </w:pPr>
                              <w:r w:rsidRPr="002F11B8">
                                <w:rPr>
                                  <w:rFonts w:cs="Arial"/>
                                  <w:b/>
                                  <w:color w:val="FFFFFF" w:themeColor="background1"/>
                                </w:rPr>
                                <w:t>STRATEGIC PLAN</w:t>
                              </w:r>
                            </w:p>
                          </w:txbxContent>
                        </wps:txbx>
                        <wps:bodyPr rot="0" vert="horz" wrap="square" lIns="91440" tIns="45720" rIns="91440" bIns="45720" anchor="t" anchorCtr="0" upright="1">
                          <a:noAutofit/>
                        </wps:bodyPr>
                      </wps:wsp>
                      <wps:wsp>
                        <wps:cNvPr id="34" name="AutoShape 352"/>
                        <wps:cNvSpPr>
                          <a:spLocks noChangeArrowheads="1"/>
                        </wps:cNvSpPr>
                        <wps:spPr bwMode="auto">
                          <a:xfrm>
                            <a:off x="795" y="9858"/>
                            <a:ext cx="2520" cy="1521"/>
                          </a:xfrm>
                          <a:prstGeom prst="roundRect">
                            <a:avLst>
                              <a:gd name="adj" fmla="val 16667"/>
                            </a:avLst>
                          </a:prstGeom>
                          <a:solidFill>
                            <a:schemeClr val="tx2">
                              <a:lumMod val="100000"/>
                              <a:lumOff val="0"/>
                            </a:schemeClr>
                          </a:solidFill>
                          <a:ln w="9525">
                            <a:solidFill>
                              <a:schemeClr val="accent1">
                                <a:lumMod val="20000"/>
                                <a:lumOff val="80000"/>
                              </a:schemeClr>
                            </a:solidFill>
                            <a:round/>
                            <a:headEnd/>
                            <a:tailEnd/>
                          </a:ln>
                        </wps:spPr>
                        <wps:txbx>
                          <w:txbxContent>
                            <w:p w14:paraId="2FA235A8" w14:textId="77777777" w:rsidR="001951AA" w:rsidRDefault="001951AA" w:rsidP="001951AA">
                              <w:pPr>
                                <w:widowControl w:val="0"/>
                                <w:jc w:val="center"/>
                                <w:rPr>
                                  <w:rFonts w:cs="Arial"/>
                                  <w:b/>
                                  <w:color w:val="FFFFFF" w:themeColor="background1"/>
                                </w:rPr>
                              </w:pPr>
                              <w:r w:rsidRPr="002F11B8">
                                <w:rPr>
                                  <w:rFonts w:cs="Arial"/>
                                  <w:b/>
                                  <w:color w:val="FFFFFF" w:themeColor="background1"/>
                                </w:rPr>
                                <w:t xml:space="preserve">5 YEAR </w:t>
                              </w:r>
                            </w:p>
                            <w:p w14:paraId="7CF14AB7" w14:textId="77777777" w:rsidR="001951AA" w:rsidRDefault="001951AA" w:rsidP="001951AA">
                              <w:pPr>
                                <w:widowControl w:val="0"/>
                                <w:jc w:val="center"/>
                                <w:rPr>
                                  <w:rFonts w:cs="Arial"/>
                                  <w:b/>
                                  <w:color w:val="FFFFFF" w:themeColor="background1"/>
                                </w:rPr>
                              </w:pPr>
                            </w:p>
                            <w:p w14:paraId="4FCC42C5" w14:textId="77777777" w:rsidR="001951AA" w:rsidRDefault="001951AA" w:rsidP="001951AA">
                              <w:pPr>
                                <w:widowControl w:val="0"/>
                                <w:jc w:val="center"/>
                                <w:rPr>
                                  <w:rFonts w:cs="Arial"/>
                                  <w:b/>
                                  <w:color w:val="FFFFFF" w:themeColor="background1"/>
                                </w:rPr>
                              </w:pPr>
                              <w:r w:rsidRPr="002F11B8">
                                <w:rPr>
                                  <w:rFonts w:cs="Arial"/>
                                  <w:b/>
                                  <w:color w:val="FFFFFF" w:themeColor="background1"/>
                                </w:rPr>
                                <w:t xml:space="preserve">CORPORATE </w:t>
                              </w:r>
                            </w:p>
                            <w:p w14:paraId="6A2A55CE" w14:textId="77777777" w:rsidR="001951AA" w:rsidRDefault="001951AA" w:rsidP="001951AA">
                              <w:pPr>
                                <w:widowControl w:val="0"/>
                                <w:jc w:val="center"/>
                                <w:rPr>
                                  <w:rFonts w:cs="Arial"/>
                                  <w:b/>
                                  <w:color w:val="FFFFFF" w:themeColor="background1"/>
                                </w:rPr>
                              </w:pPr>
                            </w:p>
                            <w:p w14:paraId="752AC2A8" w14:textId="77777777" w:rsidR="001951AA" w:rsidRPr="002F11B8" w:rsidRDefault="001951AA" w:rsidP="001951AA">
                              <w:pPr>
                                <w:widowControl w:val="0"/>
                                <w:jc w:val="center"/>
                                <w:rPr>
                                  <w:rFonts w:cs="Arial"/>
                                  <w:b/>
                                  <w:color w:val="FFFFFF" w:themeColor="background1"/>
                                </w:rPr>
                              </w:pPr>
                              <w:r w:rsidRPr="002F11B8">
                                <w:rPr>
                                  <w:rFonts w:cs="Arial"/>
                                  <w:b/>
                                  <w:color w:val="FFFFFF" w:themeColor="background1"/>
                                </w:rPr>
                                <w:t>BUSINESS PLAN</w:t>
                              </w:r>
                            </w:p>
                            <w:p w14:paraId="047AACC8" w14:textId="77777777" w:rsidR="001951AA" w:rsidRDefault="001951AA" w:rsidP="001951AA">
                              <w:pPr>
                                <w:widowControl w:val="0"/>
                                <w:rPr>
                                  <w:rFonts w:cs="Arial"/>
                                </w:rPr>
                              </w:pPr>
                            </w:p>
                          </w:txbxContent>
                        </wps:txbx>
                        <wps:bodyPr rot="0" vert="horz" wrap="square" lIns="91440" tIns="45720" rIns="91440" bIns="45720" anchor="t" anchorCtr="0" upright="1">
                          <a:noAutofit/>
                        </wps:bodyPr>
                      </wps:wsp>
                      <wps:wsp>
                        <wps:cNvPr id="35" name="AutoShape 353"/>
                        <wps:cNvCnPr>
                          <a:cxnSpLocks noChangeShapeType="1"/>
                        </wps:cNvCnPr>
                        <wps:spPr bwMode="auto">
                          <a:xfrm>
                            <a:off x="2121" y="8370"/>
                            <a:ext cx="0" cy="1420"/>
                          </a:xfrm>
                          <a:prstGeom prst="straightConnector1">
                            <a:avLst/>
                          </a:prstGeom>
                          <a:noFill/>
                          <a:ln w="25400">
                            <a:solidFill>
                              <a:schemeClr val="tx2">
                                <a:lumMod val="100000"/>
                                <a:lumOff val="0"/>
                              </a:schemeClr>
                            </a:solidFill>
                            <a:round/>
                            <a:headEnd type="triangle" w="med" len="me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F9EDAD4" id="Group 350" o:spid="_x0000_s1043" style="position:absolute;margin-left:-23.15pt;margin-top:97.7pt;width:129pt;height:237.25pt;z-index:251661312" coordorigin="795,6634" coordsize="2580,4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">
                <v:roundrect id="AutoShape 351" o:spid="_x0000_s1044" style="position:absolute;left:795;top:6634;width:2580;height:15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" fillcolor="#44546a [3215]" strokecolor="#ffbfbf [660]">
                  <v:textbox>
                    <w:txbxContent>
                      <w:p w14:paraId="7ED12B89" w14:textId="77777777" w:rsidR="001951AA" w:rsidRPr="002F11B8" w:rsidRDefault="001951AA" w:rsidP="001951AA">
                        <w:pPr>
                          <w:widowControl w:val="0"/>
                          <w:jc w:val="center"/>
                          <w:rPr>
                            <w:rFonts w:cs="Arial"/>
                            <w:b/>
                            <w:color w:val="FFFFFF" w:themeColor="background1"/>
                          </w:rPr>
                        </w:pPr>
                        <w:r w:rsidRPr="0005171A">
                          <w:rPr>
                            <w:rFonts w:cs="Arial"/>
                            <w:b/>
                            <w:color w:val="FFFFFF" w:themeColor="background1"/>
                          </w:rPr>
                          <w:t>EMRC 201</w:t>
                        </w:r>
                        <w:r>
                          <w:rPr>
                            <w:rFonts w:cs="Arial"/>
                            <w:b/>
                            <w:color w:val="FFFFFF" w:themeColor="background1"/>
                          </w:rPr>
                          <w:t>7</w:t>
                        </w:r>
                        <w:r w:rsidRPr="0005171A">
                          <w:rPr>
                            <w:rFonts w:cs="Arial"/>
                            <w:b/>
                            <w:color w:val="FFFFFF" w:themeColor="background1"/>
                          </w:rPr>
                          <w:t xml:space="preserve"> to 202</w:t>
                        </w:r>
                        <w:r>
                          <w:rPr>
                            <w:rFonts w:cs="Arial"/>
                            <w:b/>
                            <w:color w:val="FFFFFF" w:themeColor="background1"/>
                          </w:rPr>
                          <w:t>7</w:t>
                        </w:r>
                      </w:p>
                      <w:p w14:paraId="398019C9" w14:textId="77777777" w:rsidR="001951AA" w:rsidRPr="002F11B8" w:rsidRDefault="001951AA" w:rsidP="001951AA">
                        <w:pPr>
                          <w:widowControl w:val="0"/>
                          <w:jc w:val="center"/>
                          <w:rPr>
                            <w:rFonts w:cs="Arial"/>
                            <w:b/>
                            <w:color w:val="FFFFFF" w:themeColor="background1"/>
                          </w:rPr>
                        </w:pPr>
                      </w:p>
                      <w:p w14:paraId="026A06F8" w14:textId="77777777" w:rsidR="001951AA" w:rsidRDefault="001951AA" w:rsidP="001951AA">
                        <w:pPr>
                          <w:widowControl w:val="0"/>
                          <w:jc w:val="center"/>
                          <w:rPr>
                            <w:rFonts w:cs="Arial"/>
                            <w:b/>
                            <w:color w:val="FFFFFF" w:themeColor="background1"/>
                          </w:rPr>
                        </w:pPr>
                        <w:r w:rsidRPr="002F11B8">
                          <w:rPr>
                            <w:rFonts w:cs="Arial"/>
                            <w:b/>
                            <w:color w:val="FFFFFF" w:themeColor="background1"/>
                          </w:rPr>
                          <w:t xml:space="preserve">10 YEAR </w:t>
                        </w:r>
                      </w:p>
                      <w:p w14:paraId="389A0E7E" w14:textId="77777777" w:rsidR="001951AA" w:rsidRDefault="001951AA" w:rsidP="001951AA">
                        <w:pPr>
                          <w:widowControl w:val="0"/>
                          <w:jc w:val="center"/>
                          <w:rPr>
                            <w:rFonts w:cs="Arial"/>
                            <w:b/>
                            <w:color w:val="FFFFFF" w:themeColor="background1"/>
                          </w:rPr>
                        </w:pPr>
                      </w:p>
                      <w:p w14:paraId="092ACCAC" w14:textId="77777777" w:rsidR="001951AA" w:rsidRPr="002F11B8" w:rsidRDefault="001951AA" w:rsidP="001951AA">
                        <w:pPr>
                          <w:widowControl w:val="0"/>
                          <w:jc w:val="center"/>
                          <w:rPr>
                            <w:rFonts w:cs="Arial"/>
                            <w:b/>
                            <w:color w:val="FFFFFF" w:themeColor="background1"/>
                          </w:rPr>
                        </w:pPr>
                        <w:r w:rsidRPr="002F11B8">
                          <w:rPr>
                            <w:rFonts w:cs="Arial"/>
                            <w:b/>
                            <w:color w:val="FFFFFF" w:themeColor="background1"/>
                          </w:rPr>
                          <w:t>STRATEGIC PLAN</w:t>
                        </w:r>
                      </w:p>
                    </w:txbxContent>
                  </v:textbox>
                </v:roundrect>
                <v:roundrect id="AutoShape 352" o:spid="_x0000_s1045" style="position:absolute;left:795;top:9858;width:2520;height:152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" fillcolor="#44546a [3215]" strokecolor="#ffbfbf [660]">
                  <v:textbox>
                    <w:txbxContent>
                      <w:p w14:paraId="2FA235A8" w14:textId="77777777" w:rsidR="001951AA" w:rsidRDefault="001951AA" w:rsidP="001951AA">
                        <w:pPr>
                          <w:widowControl w:val="0"/>
                          <w:jc w:val="center"/>
                          <w:rPr>
                            <w:rFonts w:cs="Arial"/>
                            <w:b/>
                            <w:color w:val="FFFFFF" w:themeColor="background1"/>
                          </w:rPr>
                        </w:pPr>
                        <w:r w:rsidRPr="002F11B8">
                          <w:rPr>
                            <w:rFonts w:cs="Arial"/>
                            <w:b/>
                            <w:color w:val="FFFFFF" w:themeColor="background1"/>
                          </w:rPr>
                          <w:t xml:space="preserve">5 YEAR </w:t>
                        </w:r>
                      </w:p>
                      <w:p w14:paraId="7CF14AB7" w14:textId="77777777" w:rsidR="001951AA" w:rsidRDefault="001951AA" w:rsidP="001951AA">
                        <w:pPr>
                          <w:widowControl w:val="0"/>
                          <w:jc w:val="center"/>
                          <w:rPr>
                            <w:rFonts w:cs="Arial"/>
                            <w:b/>
                            <w:color w:val="FFFFFF" w:themeColor="background1"/>
                          </w:rPr>
                        </w:pPr>
                      </w:p>
                      <w:p w14:paraId="4FCC42C5" w14:textId="77777777" w:rsidR="001951AA" w:rsidRDefault="001951AA" w:rsidP="001951AA">
                        <w:pPr>
                          <w:widowControl w:val="0"/>
                          <w:jc w:val="center"/>
                          <w:rPr>
                            <w:rFonts w:cs="Arial"/>
                            <w:b/>
                            <w:color w:val="FFFFFF" w:themeColor="background1"/>
                          </w:rPr>
                        </w:pPr>
                        <w:r w:rsidRPr="002F11B8">
                          <w:rPr>
                            <w:rFonts w:cs="Arial"/>
                            <w:b/>
                            <w:color w:val="FFFFFF" w:themeColor="background1"/>
                          </w:rPr>
                          <w:t xml:space="preserve">CORPORATE </w:t>
                        </w:r>
                      </w:p>
                      <w:p w14:paraId="6A2A55CE" w14:textId="77777777" w:rsidR="001951AA" w:rsidRDefault="001951AA" w:rsidP="001951AA">
                        <w:pPr>
                          <w:widowControl w:val="0"/>
                          <w:jc w:val="center"/>
                          <w:rPr>
                            <w:rFonts w:cs="Arial"/>
                            <w:b/>
                            <w:color w:val="FFFFFF" w:themeColor="background1"/>
                          </w:rPr>
                        </w:pPr>
                      </w:p>
                      <w:p w14:paraId="752AC2A8" w14:textId="77777777" w:rsidR="001951AA" w:rsidRPr="002F11B8" w:rsidRDefault="001951AA" w:rsidP="001951AA">
                        <w:pPr>
                          <w:widowControl w:val="0"/>
                          <w:jc w:val="center"/>
                          <w:rPr>
                            <w:rFonts w:cs="Arial"/>
                            <w:b/>
                            <w:color w:val="FFFFFF" w:themeColor="background1"/>
                          </w:rPr>
                        </w:pPr>
                        <w:r w:rsidRPr="002F11B8">
                          <w:rPr>
                            <w:rFonts w:cs="Arial"/>
                            <w:b/>
                            <w:color w:val="FFFFFF" w:themeColor="background1"/>
                          </w:rPr>
                          <w:t>BUSINESS PLAN</w:t>
                        </w:r>
                      </w:p>
                      <w:p w14:paraId="047AACC8" w14:textId="77777777" w:rsidR="001951AA" w:rsidRDefault="001951AA" w:rsidP="001951AA">
                        <w:pPr>
                          <w:widowControl w:val="0"/>
                          <w:rPr>
                            <w:rFonts w:cs="Arial"/>
                          </w:rPr>
                        </w:pPr>
                      </w:p>
                    </w:txbxContent>
                  </v:textbox>
                </v:roundrect>
                <v:shape id="AutoShape 353" o:spid="_x0000_s1046" type="#_x0000_t32" style="position:absolute;left:2121;top:8370;width:0;height:14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" strokecolor="#44546a [3215]" strokeweight="2pt">
                  <v:stroke startarrow="block" endarrow="block"/>
                </v:shape>
              </v:group>
            </w:pict>
          </mc:Fallback>
        </mc:AlternateContent>
      </w:r>
      <w:r w:rsidR="001951AA">
        <w:rPr>
          <w:rFonts w:cs="Arial"/>
          <w:noProof/>
          <w:lang w:eastAsia="en-AU"/>
        </w:rPr>
        <mc:AlternateContent>
          <mc:Choice Requires="wps">
            <w:drawing>
              <wp:anchor distT="0" distB="0" distL="114300" distR="114300" simplePos="0" relativeHeight="251669504" behindDoc="0" locked="0" layoutInCell="1" allowOverlap="1" wp14:anchorId="3520B598" wp14:editId="42E34AFB">
                <wp:simplePos x="0" y="0"/>
                <wp:positionH relativeFrom="column">
                  <wp:posOffset>2153285</wp:posOffset>
                </wp:positionH>
                <wp:positionV relativeFrom="paragraph">
                  <wp:posOffset>2471420</wp:posOffset>
                </wp:positionV>
                <wp:extent cx="1271270" cy="771525"/>
                <wp:effectExtent l="0" t="0" r="24130" b="28575"/>
                <wp:wrapNone/>
                <wp:docPr id="20" name="AutoShape 3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1270" cy="771525"/>
                        </a:xfrm>
                        <a:prstGeom prst="roundRect">
                          <a:avLst>
                            <a:gd name="adj" fmla="val 16667"/>
                          </a:avLst>
                        </a:prstGeom>
                        <a:solidFill>
                          <a:schemeClr val="accent3">
                            <a:lumMod val="100000"/>
                            <a:lumOff val="0"/>
                          </a:schemeClr>
                        </a:solidFill>
                        <a:ln w="9525">
                          <a:solidFill>
                            <a:schemeClr val="accent3">
                              <a:lumMod val="100000"/>
                              <a:lumOff val="0"/>
                            </a:schemeClr>
                          </a:solidFill>
                          <a:round/>
                          <a:headEnd/>
                          <a:tailEnd/>
                        </a:ln>
                      </wps:spPr>
                      <wps:txbx>
                        <w:txbxContent>
                          <w:p w14:paraId="5E4C0BFF" w14:textId="77777777" w:rsidR="001951AA" w:rsidRPr="00E7084B" w:rsidRDefault="001951AA" w:rsidP="001951AA">
                            <w:pPr>
                              <w:widowControl w:val="0"/>
                              <w:spacing w:after="200" w:line="273" w:lineRule="auto"/>
                              <w:jc w:val="center"/>
                              <w:rPr>
                                <w:rFonts w:cs="Arial"/>
                                <w:b/>
                                <w:color w:val="FFFFFF" w:themeColor="background1"/>
                                <w:sz w:val="20"/>
                              </w:rPr>
                            </w:pPr>
                            <w:r w:rsidRPr="00E7084B">
                              <w:rPr>
                                <w:rFonts w:cs="Arial"/>
                                <w:b/>
                                <w:color w:val="FFFFFF" w:themeColor="background1"/>
                                <w:sz w:val="20"/>
                              </w:rPr>
                              <w:t>10 YEAR FINANCIAL PLAN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520B598" id="AutoShape 372" o:spid="_x0000_s1047" style="position:absolute;margin-left:169.55pt;margin-top:194.6pt;width:100.1pt;height:60.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" fillcolor="#6b6c6d [3206]" strokecolor="#6b6c6d [3206]">
                <v:textbox>
                  <w:txbxContent>
                    <w:p w14:paraId="5E4C0BFF" w14:textId="77777777" w:rsidR="001951AA" w:rsidRPr="00E7084B" w:rsidRDefault="001951AA" w:rsidP="001951AA">
                      <w:pPr>
                        <w:widowControl w:val="0"/>
                        <w:spacing w:after="200" w:line="273" w:lineRule="auto"/>
                        <w:jc w:val="center"/>
                        <w:rPr>
                          <w:rFonts w:cs="Arial"/>
                          <w:b/>
                          <w:color w:val="FFFFFF" w:themeColor="background1"/>
                          <w:sz w:val="20"/>
                        </w:rPr>
                      </w:pPr>
                      <w:r w:rsidRPr="00E7084B">
                        <w:rPr>
                          <w:rFonts w:cs="Arial"/>
                          <w:b/>
                          <w:color w:val="FFFFFF" w:themeColor="background1"/>
                          <w:sz w:val="20"/>
                        </w:rPr>
                        <w:t>10 YEAR FINANCIAL PLAN</w:t>
                      </w:r>
                    </w:p>
                  </w:txbxContent>
                </v:textbox>
              </v:roundrect>
            </w:pict>
          </mc:Fallback>
        </mc:AlternateContent>
      </w:r>
      <w:r w:rsidR="001951AA">
        <w:rPr>
          <w:rFonts w:cs="Arial"/>
          <w:noProof/>
          <w:lang w:eastAsia="en-AU"/>
        </w:rPr>
        <mc:AlternateContent>
          <mc:Choice Requires="wps">
            <w:drawing>
              <wp:anchor distT="0" distB="0" distL="114300" distR="114300" simplePos="0" relativeHeight="251670528" behindDoc="0" locked="0" layoutInCell="1" allowOverlap="1" wp14:anchorId="24C052F5" wp14:editId="013B3755">
                <wp:simplePos x="0" y="0"/>
                <wp:positionH relativeFrom="column">
                  <wp:posOffset>2148205</wp:posOffset>
                </wp:positionH>
                <wp:positionV relativeFrom="paragraph">
                  <wp:posOffset>796925</wp:posOffset>
                </wp:positionV>
                <wp:extent cx="1200150" cy="669925"/>
                <wp:effectExtent l="0" t="0" r="19050" b="15875"/>
                <wp:wrapNone/>
                <wp:docPr id="18" name="AutoShape 3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0150" cy="669925"/>
                        </a:xfrm>
                        <a:prstGeom prst="roundRect">
                          <a:avLst>
                            <a:gd name="adj" fmla="val 16667"/>
                          </a:avLst>
                        </a:prstGeom>
                        <a:solidFill>
                          <a:schemeClr val="accent3">
                            <a:lumMod val="100000"/>
                            <a:lumOff val="0"/>
                          </a:schemeClr>
                        </a:solidFill>
                        <a:ln w="9525">
                          <a:solidFill>
                            <a:schemeClr val="accent3">
                              <a:lumMod val="100000"/>
                              <a:lumOff val="0"/>
                            </a:schemeClr>
                          </a:solidFill>
                          <a:round/>
                          <a:headEnd/>
                          <a:tailEnd/>
                        </a:ln>
                      </wps:spPr>
                      <wps:txbx>
                        <w:txbxContent>
                          <w:p w14:paraId="77914271" w14:textId="77777777" w:rsidR="001951AA" w:rsidRPr="00E7084B" w:rsidRDefault="001951AA" w:rsidP="001951AA">
                            <w:pPr>
                              <w:widowControl w:val="0"/>
                              <w:spacing w:after="200" w:line="273" w:lineRule="auto"/>
                              <w:jc w:val="center"/>
                              <w:rPr>
                                <w:rFonts w:cs="Arial"/>
                                <w:b/>
                                <w:color w:val="FFFFFF" w:themeColor="background1"/>
                                <w:sz w:val="20"/>
                              </w:rPr>
                            </w:pPr>
                            <w:r w:rsidRPr="00E7084B">
                              <w:rPr>
                                <w:rFonts w:cs="Arial"/>
                                <w:b/>
                                <w:color w:val="FFFFFF" w:themeColor="background1"/>
                                <w:sz w:val="20"/>
                              </w:rPr>
                              <w:t>STRATEGIC HIGH LEVEL PLANS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4C052F5" id="AutoShape 373" o:spid="_x0000_s1048" style="position:absolute;margin-left:169.15pt;margin-top:62.75pt;width:94.5pt;height:52.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" fillcolor="#6b6c6d [3206]" strokecolor="#6b6c6d [3206]">
                <v:textbox>
                  <w:txbxContent>
                    <w:p w14:paraId="77914271" w14:textId="77777777" w:rsidR="001951AA" w:rsidRPr="00E7084B" w:rsidRDefault="001951AA" w:rsidP="001951AA">
                      <w:pPr>
                        <w:widowControl w:val="0"/>
                        <w:spacing w:after="200" w:line="273" w:lineRule="auto"/>
                        <w:jc w:val="center"/>
                        <w:rPr>
                          <w:rFonts w:cs="Arial"/>
                          <w:b/>
                          <w:color w:val="FFFFFF" w:themeColor="background1"/>
                          <w:sz w:val="20"/>
                        </w:rPr>
                      </w:pPr>
                      <w:r w:rsidRPr="00E7084B">
                        <w:rPr>
                          <w:rFonts w:cs="Arial"/>
                          <w:b/>
                          <w:color w:val="FFFFFF" w:themeColor="background1"/>
                          <w:sz w:val="20"/>
                        </w:rPr>
                        <w:t>STRATEGIC HIGH LEVEL PLANS</w:t>
                      </w:r>
                    </w:p>
                  </w:txbxContent>
                </v:textbox>
              </v:roundrect>
            </w:pict>
          </mc:Fallback>
        </mc:AlternateContent>
      </w:r>
      <w:r w:rsidR="001951AA">
        <w:rPr>
          <w:rFonts w:cs="Arial"/>
          <w:b/>
          <w:noProof/>
          <w:sz w:val="24"/>
          <w:szCs w:val="24"/>
          <w:lang w:eastAsia="en-AU"/>
        </w:rPr>
        <mc:AlternateContent>
          <mc:Choice Requires="wps">
            <w:drawing>
              <wp:anchor distT="0" distB="0" distL="114300" distR="114300" simplePos="0" relativeHeight="251664384" behindDoc="1" locked="0" layoutInCell="1" allowOverlap="1" wp14:anchorId="57C65F71" wp14:editId="7048484B">
                <wp:simplePos x="0" y="0"/>
                <wp:positionH relativeFrom="column">
                  <wp:posOffset>-512445</wp:posOffset>
                </wp:positionH>
                <wp:positionV relativeFrom="paragraph">
                  <wp:posOffset>476885</wp:posOffset>
                </wp:positionV>
                <wp:extent cx="2078355" cy="4619625"/>
                <wp:effectExtent l="0" t="0" r="17145" b="28575"/>
                <wp:wrapNone/>
                <wp:docPr id="7" name="Rectangle 3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8355" cy="4619625"/>
                        </a:xfrm>
                        <a:prstGeom prst="rect">
                          <a:avLst/>
                        </a:prstGeom>
                        <a:solidFill>
                          <a:schemeClr val="accent1">
                            <a:lumMod val="20000"/>
                            <a:lumOff val="80000"/>
                          </a:schemeClr>
                        </a:solidFill>
                        <a:ln w="25400">
                          <a:solidFill>
                            <a:schemeClr val="tx2">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FC0102" id="Rectangle 356" o:spid="_x0000_s1026" style="position:absolute;margin-left:-40.35pt;margin-top:37.55pt;width:163.65pt;height:363.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" fillcolor="#ffbfbf [660]" strokecolor="#44546a [3215]" strokeweight="2pt"/>
            </w:pict>
          </mc:Fallback>
        </mc:AlternateContent>
      </w:r>
      <w:r w:rsidR="001951AA">
        <w:rPr>
          <w:rFonts w:cs="Arial"/>
          <w:b/>
          <w:noProof/>
          <w:sz w:val="24"/>
          <w:szCs w:val="24"/>
          <w:lang w:eastAsia="en-AU"/>
        </w:rPr>
        <mc:AlternateContent>
          <mc:Choice Requires="wps">
            <w:drawing>
              <wp:anchor distT="0" distB="0" distL="114300" distR="114300" simplePos="0" relativeHeight="251667456" behindDoc="0" locked="0" layoutInCell="1" allowOverlap="1" wp14:anchorId="200A4D2D" wp14:editId="463F686D">
                <wp:simplePos x="0" y="0"/>
                <wp:positionH relativeFrom="column">
                  <wp:posOffset>1571625</wp:posOffset>
                </wp:positionH>
                <wp:positionV relativeFrom="paragraph">
                  <wp:posOffset>2696210</wp:posOffset>
                </wp:positionV>
                <wp:extent cx="347345" cy="0"/>
                <wp:effectExtent l="28575" t="67310" r="24130" b="66040"/>
                <wp:wrapNone/>
                <wp:docPr id="23" name="AutoShape 3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7345" cy="0"/>
                        </a:xfrm>
                        <a:prstGeom prst="straightConnector1">
                          <a:avLst/>
                        </a:prstGeom>
                        <a:noFill/>
                        <a:ln w="2540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057612" id="AutoShape 363" o:spid="_x0000_s1026" type="#_x0000_t32" style="position:absolute;margin-left:123.75pt;margin-top:212.3pt;width:27.35pt;height:0;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" strokeweight="2pt">
                <v:stroke startarrow="block" endarrow="block"/>
              </v:shape>
            </w:pict>
          </mc:Fallback>
        </mc:AlternateContent>
      </w:r>
      <w:r w:rsidR="001951AA">
        <w:rPr>
          <w:rFonts w:cs="Arial"/>
          <w:b/>
          <w:noProof/>
          <w:sz w:val="24"/>
          <w:szCs w:val="24"/>
          <w:lang w:eastAsia="en-AU"/>
        </w:rPr>
        <mc:AlternateContent>
          <mc:Choice Requires="wps">
            <w:drawing>
              <wp:anchor distT="0" distB="0" distL="114300" distR="114300" simplePos="0" relativeHeight="251666432" behindDoc="0" locked="0" layoutInCell="1" allowOverlap="1" wp14:anchorId="0995F677" wp14:editId="591CF70A">
                <wp:simplePos x="0" y="0"/>
                <wp:positionH relativeFrom="column">
                  <wp:posOffset>3562350</wp:posOffset>
                </wp:positionH>
                <wp:positionV relativeFrom="paragraph">
                  <wp:posOffset>2639060</wp:posOffset>
                </wp:positionV>
                <wp:extent cx="301625" cy="635"/>
                <wp:effectExtent l="28575" t="67310" r="31750" b="65405"/>
                <wp:wrapNone/>
                <wp:docPr id="21" name="AutoShape 3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1625" cy="635"/>
                        </a:xfrm>
                        <a:prstGeom prst="straightConnector1">
                          <a:avLst/>
                        </a:prstGeom>
                        <a:noFill/>
                        <a:ln w="2540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4342DA" id="AutoShape 362" o:spid="_x0000_s1026" type="#_x0000_t32" style="position:absolute;margin-left:280.5pt;margin-top:207.8pt;width:23.75pt;height:.0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" strokeweight="2pt">
                <v:stroke startarrow="block" endarrow="block"/>
              </v:shape>
            </w:pict>
          </mc:Fallback>
        </mc:AlternateContent>
      </w:r>
      <w:r w:rsidR="001951AA">
        <w:rPr>
          <w:rFonts w:cs="Arial"/>
          <w:b/>
          <w:noProof/>
          <w:sz w:val="24"/>
          <w:szCs w:val="24"/>
          <w:lang w:eastAsia="en-AU"/>
        </w:rPr>
        <mc:AlternateContent>
          <mc:Choice Requires="wps">
            <w:drawing>
              <wp:anchor distT="0" distB="0" distL="114300" distR="114300" simplePos="0" relativeHeight="251662336" behindDoc="1" locked="0" layoutInCell="1" allowOverlap="1" wp14:anchorId="473E233C" wp14:editId="35DA7E27">
                <wp:simplePos x="0" y="0"/>
                <wp:positionH relativeFrom="column">
                  <wp:posOffset>3863975</wp:posOffset>
                </wp:positionH>
                <wp:positionV relativeFrom="paragraph">
                  <wp:posOffset>480695</wp:posOffset>
                </wp:positionV>
                <wp:extent cx="2362200" cy="4661535"/>
                <wp:effectExtent l="15875" t="13970" r="12700" b="20320"/>
                <wp:wrapNone/>
                <wp:docPr id="1218210109" name="Rectangle 3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0" cy="4661535"/>
                        </a:xfrm>
                        <a:prstGeom prst="rect">
                          <a:avLst/>
                        </a:prstGeom>
                        <a:solidFill>
                          <a:schemeClr val="accent6">
                            <a:lumMod val="40000"/>
                            <a:lumOff val="60000"/>
                          </a:schemeClr>
                        </a:solidFill>
                        <a:ln w="25400">
                          <a:solidFill>
                            <a:schemeClr val="accent6">
                              <a:lumMod val="100000"/>
                              <a:lumOff val="0"/>
                            </a:schemeClr>
                          </a:solidFill>
                          <a:miter lim="800000"/>
                          <a:headEnd/>
                          <a:tailEnd/>
                        </a:ln>
                        <a:effectLst/>
                        <a:extLst>
                          <a:ext uri="{AF507438-7753-43E0-B8FC-AC1667EBCBE1}">
                            <a14:hiddenEffects xmlns:a14="http://schemas.microsoft.com/office/drawing/2010/main">
                              <a:effectLst>
                                <a:outerShdw dist="28398" dir="3806097" algn="ctr" rotWithShape="0">
                                  <a:schemeClr val="accent6">
                                    <a:lumMod val="50000"/>
                                    <a:lumOff val="0"/>
                                    <a:alpha val="50000"/>
                                  </a:schemeClr>
                                </a:outerShdw>
                              </a:effectLst>
                            </a14:hiddenEffects>
                          </a:ext>
                        </a:extLst>
                      </wps:spPr>
                      <wps:txbx>
                        <w:txbxContent>
                          <w:p w14:paraId="412EEBD8" w14:textId="77777777" w:rsidR="001951AA" w:rsidRPr="00E7084B" w:rsidRDefault="001951AA" w:rsidP="001951AA">
                            <w:pPr>
                              <w:jc w:val="center"/>
                              <w:rPr>
                                <w:rFonts w:cs="Arial"/>
                                <w:b/>
                                <w:color w:val="000000" w:themeColor="text1"/>
                              </w:rPr>
                            </w:pPr>
                            <w:r w:rsidRPr="00E7084B">
                              <w:rPr>
                                <w:rFonts w:cs="Arial"/>
                                <w:b/>
                                <w:color w:val="000000" w:themeColor="text1"/>
                              </w:rPr>
                              <w:t>ASSET MANAGEMENT FRAMEWORK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3E233C" id="Rectangle 354" o:spid="_x0000_s1049" style="position:absolute;margin-left:304.25pt;margin-top:37.85pt;width:186pt;height:367.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" fillcolor="#cadba8 [1305]" strokecolor="#76923c [3209]" strokeweight="2pt">
                <v:shadow color="#3a481d [1609]" opacity=".5" offset="1pt"/>
                <v:textbox>
                  <w:txbxContent>
                    <w:p w14:paraId="412EEBD8" w14:textId="77777777" w:rsidR="001951AA" w:rsidRPr="00E7084B" w:rsidRDefault="001951AA" w:rsidP="001951AA">
                      <w:pPr>
                        <w:jc w:val="center"/>
                        <w:rPr>
                          <w:rFonts w:cs="Arial"/>
                          <w:b/>
                          <w:color w:val="000000" w:themeColor="text1"/>
                        </w:rPr>
                      </w:pPr>
                      <w:r w:rsidRPr="00E7084B">
                        <w:rPr>
                          <w:rFonts w:cs="Arial"/>
                          <w:b/>
                          <w:color w:val="000000" w:themeColor="text1"/>
                        </w:rPr>
                        <w:t>ASSET MANAGEMENT FRAMEWORK</w:t>
                      </w:r>
                    </w:p>
                  </w:txbxContent>
                </v:textbox>
              </v:rect>
            </w:pict>
          </mc:Fallback>
        </mc:AlternateContent>
      </w:r>
      <w:r w:rsidR="001951AA">
        <w:rPr>
          <w:rFonts w:cs="Arial"/>
          <w:b/>
          <w:noProof/>
          <w:sz w:val="24"/>
          <w:szCs w:val="24"/>
          <w:lang w:eastAsia="en-AU"/>
        </w:rPr>
        <mc:AlternateContent>
          <mc:Choice Requires="wps">
            <w:drawing>
              <wp:anchor distT="0" distB="0" distL="114300" distR="114300" simplePos="0" relativeHeight="251663360" behindDoc="1" locked="0" layoutInCell="1" allowOverlap="1" wp14:anchorId="1A267157" wp14:editId="4FD6E1E8">
                <wp:simplePos x="0" y="0"/>
                <wp:positionH relativeFrom="column">
                  <wp:posOffset>1918970</wp:posOffset>
                </wp:positionH>
                <wp:positionV relativeFrom="paragraph">
                  <wp:posOffset>522605</wp:posOffset>
                </wp:positionV>
                <wp:extent cx="1643380" cy="3124200"/>
                <wp:effectExtent l="13970" t="17780" r="19050" b="20320"/>
                <wp:wrapNone/>
                <wp:docPr id="1908270607" name="Rectangle 3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3380" cy="3124200"/>
                        </a:xfrm>
                        <a:prstGeom prst="rect">
                          <a:avLst/>
                        </a:prstGeom>
                        <a:solidFill>
                          <a:schemeClr val="accent3">
                            <a:lumMod val="40000"/>
                            <a:lumOff val="60000"/>
                          </a:schemeClr>
                        </a:solidFill>
                        <a:ln w="25400">
                          <a:solidFill>
                            <a:schemeClr val="accent3">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E86E94" id="Rectangle 355" o:spid="_x0000_s1026" style="position:absolute;margin-left:151.1pt;margin-top:41.15pt;width:129.4pt;height:24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" fillcolor="#c3c4c4 [1302]" strokecolor="#6b6c6d [3206]" strokeweight="2pt"/>
            </w:pict>
          </mc:Fallback>
        </mc:AlternateContent>
      </w:r>
      <w:r w:rsidR="001951AA">
        <w:rPr>
          <w:rFonts w:eastAsia="Calibri"/>
        </w:rPr>
        <w:br w:type="page"/>
      </w:r>
      <w:bookmarkStart w:id="16" w:name="_Toc207186096"/>
      <w:bookmarkStart w:id="17" w:name="_Toc345927186"/>
    </w:p>
    <w:p w14:paraId="2B2E150A" w14:textId="0E8BA61D" w:rsidR="00821326" w:rsidRPr="00821326" w:rsidRDefault="00821326" w:rsidP="00821326">
      <w:pPr>
        <w:pStyle w:val="Heading2"/>
        <w:numPr>
          <w:ilvl w:val="0"/>
          <w:numId w:val="0"/>
        </w:numPr>
        <w:rPr>
          <w:noProof/>
          <w:color w:val="83AD27"/>
        </w:rPr>
      </w:pPr>
      <w:r>
        <w:rPr>
          <w:noProof/>
          <w:color w:val="83AD27"/>
        </w:rPr>
        <w:lastRenderedPageBreak/>
        <w:t>4.1</w:t>
      </w:r>
      <w:r>
        <w:rPr>
          <w:noProof/>
          <w:color w:val="83AD27"/>
        </w:rPr>
        <w:tab/>
        <w:t>Asset Management Policy</w:t>
      </w:r>
      <w:bookmarkEnd w:id="16"/>
    </w:p>
    <w:p w14:paraId="21E9F8FA" w14:textId="77777777" w:rsidR="00821326" w:rsidRPr="00500B05" w:rsidRDefault="00821326" w:rsidP="00821326">
      <w:pPr>
        <w:overflowPunct w:val="0"/>
        <w:autoSpaceDE w:val="0"/>
        <w:autoSpaceDN w:val="0"/>
        <w:adjustRightInd w:val="0"/>
        <w:spacing w:after="120"/>
        <w:textAlignment w:val="baseline"/>
      </w:pPr>
      <w:r w:rsidRPr="00500B05">
        <w:t>Asset Management Policy – establishes the platform for asset management and provides the framework that enables the Strategic Asset Management Strategy and O</w:t>
      </w:r>
      <w:r>
        <w:t>perational Asset Management Plans development</w:t>
      </w:r>
      <w:r w:rsidRPr="00500B05">
        <w:t>.</w:t>
      </w:r>
    </w:p>
    <w:p w14:paraId="28014838" w14:textId="62404DEB" w:rsidR="00821326" w:rsidRPr="00821326" w:rsidRDefault="00821326" w:rsidP="00821326">
      <w:pPr>
        <w:pStyle w:val="Heading2"/>
        <w:numPr>
          <w:ilvl w:val="0"/>
          <w:numId w:val="0"/>
        </w:numPr>
        <w:rPr>
          <w:noProof/>
          <w:color w:val="83AD27"/>
        </w:rPr>
      </w:pPr>
      <w:bookmarkStart w:id="18" w:name="_Toc50045404"/>
      <w:bookmarkStart w:id="19" w:name="_Toc207186097"/>
      <w:r>
        <w:rPr>
          <w:noProof/>
          <w:color w:val="83AD27"/>
        </w:rPr>
        <w:t>4.2</w:t>
      </w:r>
      <w:r>
        <w:rPr>
          <w:noProof/>
          <w:color w:val="83AD27"/>
        </w:rPr>
        <w:tab/>
      </w:r>
      <w:r w:rsidRPr="00821326">
        <w:rPr>
          <w:noProof/>
          <w:color w:val="83AD27"/>
        </w:rPr>
        <w:t xml:space="preserve">Strategic Asset Management </w:t>
      </w:r>
      <w:bookmarkEnd w:id="17"/>
      <w:r w:rsidRPr="00821326">
        <w:rPr>
          <w:noProof/>
          <w:color w:val="83AD27"/>
        </w:rPr>
        <w:t>Plan</w:t>
      </w:r>
      <w:bookmarkEnd w:id="18"/>
      <w:bookmarkEnd w:id="19"/>
      <w:r w:rsidRPr="00821326">
        <w:rPr>
          <w:noProof/>
          <w:color w:val="83AD27"/>
        </w:rPr>
        <w:t xml:space="preserve"> </w:t>
      </w:r>
    </w:p>
    <w:p w14:paraId="26761098" w14:textId="0997CA18" w:rsidR="00821326" w:rsidRDefault="00821326" w:rsidP="00821326">
      <w:pPr>
        <w:overflowPunct w:val="0"/>
        <w:autoSpaceDE w:val="0"/>
        <w:autoSpaceDN w:val="0"/>
        <w:adjustRightInd w:val="0"/>
        <w:spacing w:after="120"/>
        <w:textAlignment w:val="baseline"/>
      </w:pPr>
      <w:r w:rsidRPr="00500B05">
        <w:t>Strategic Asset Management Plan – a high level strategic document which, among other things, define</w:t>
      </w:r>
      <w:r>
        <w:t>s</w:t>
      </w:r>
      <w:r w:rsidRPr="00500B05">
        <w:t xml:space="preserve"> service levels; link</w:t>
      </w:r>
      <w:r>
        <w:t>s</w:t>
      </w:r>
      <w:r w:rsidRPr="00500B05">
        <w:t xml:space="preserve"> to financial plans; detai</w:t>
      </w:r>
      <w:r>
        <w:t>l</w:t>
      </w:r>
      <w:r w:rsidRPr="00500B05">
        <w:t>s governance arrangements; and outline</w:t>
      </w:r>
      <w:r>
        <w:t>s</w:t>
      </w:r>
      <w:r w:rsidRPr="00500B05">
        <w:t xml:space="preserve"> data and system requirements to support asset management.</w:t>
      </w:r>
    </w:p>
    <w:p w14:paraId="662A78E5" w14:textId="1A675796" w:rsidR="00821326" w:rsidRDefault="00821326" w:rsidP="00821326">
      <w:r>
        <w:t xml:space="preserve">Strategic asset management planning is critical to ensure that the most appropriate assets are maintained to meet EMRC’s current and future service delivery demands. This long term planning, which covers 10 years, is aimed at identifying critical assets </w:t>
      </w:r>
      <w:r w:rsidRPr="00523505">
        <w:t>required to support the Strategic Plan.</w:t>
      </w:r>
    </w:p>
    <w:p w14:paraId="066CCAFA" w14:textId="77777777" w:rsidR="00821326" w:rsidRDefault="00821326" w:rsidP="00821326">
      <w:r>
        <w:t>The main services currently delivered by EMRC include:</w:t>
      </w:r>
    </w:p>
    <w:p w14:paraId="16B38DDF" w14:textId="77777777" w:rsidR="00821326" w:rsidRDefault="00821326" w:rsidP="00356782">
      <w:pPr>
        <w:numPr>
          <w:ilvl w:val="0"/>
          <w:numId w:val="9"/>
        </w:numPr>
        <w:spacing w:after="0"/>
      </w:pPr>
      <w:r>
        <w:t xml:space="preserve">Waste management services; </w:t>
      </w:r>
    </w:p>
    <w:p w14:paraId="01566E92" w14:textId="77777777" w:rsidR="00821326" w:rsidRDefault="00821326" w:rsidP="00356782">
      <w:pPr>
        <w:numPr>
          <w:ilvl w:val="0"/>
          <w:numId w:val="9"/>
        </w:numPr>
        <w:spacing w:after="0"/>
      </w:pPr>
      <w:r>
        <w:t xml:space="preserve">Recycling services; </w:t>
      </w:r>
    </w:p>
    <w:p w14:paraId="6BDC803F" w14:textId="77777777" w:rsidR="00821326" w:rsidRDefault="00821326" w:rsidP="00356782">
      <w:pPr>
        <w:numPr>
          <w:ilvl w:val="0"/>
          <w:numId w:val="9"/>
        </w:numPr>
        <w:spacing w:after="0"/>
      </w:pPr>
      <w:r>
        <w:t xml:space="preserve">Generation of landfill gas and power; </w:t>
      </w:r>
    </w:p>
    <w:p w14:paraId="0530ED59" w14:textId="77777777" w:rsidR="00821326" w:rsidRDefault="00821326" w:rsidP="00356782">
      <w:pPr>
        <w:numPr>
          <w:ilvl w:val="0"/>
          <w:numId w:val="9"/>
        </w:numPr>
        <w:spacing w:after="0"/>
      </w:pPr>
      <w:r>
        <w:t>Maintenance of compost facility and transfer services; and</w:t>
      </w:r>
    </w:p>
    <w:p w14:paraId="5665B05A" w14:textId="5BBADF5C" w:rsidR="00821326" w:rsidRDefault="00821326" w:rsidP="00356782">
      <w:pPr>
        <w:numPr>
          <w:ilvl w:val="0"/>
          <w:numId w:val="9"/>
        </w:numPr>
        <w:spacing w:after="0"/>
      </w:pPr>
      <w:r>
        <w:t>Waste education services.</w:t>
      </w:r>
    </w:p>
    <w:p w14:paraId="46EA57A6" w14:textId="77777777" w:rsidR="00821326" w:rsidRDefault="00821326" w:rsidP="00821326">
      <w:pPr>
        <w:spacing w:after="0"/>
        <w:ind w:left="360"/>
      </w:pPr>
    </w:p>
    <w:p w14:paraId="162B5BF7" w14:textId="77777777" w:rsidR="00821326" w:rsidRPr="00D23092" w:rsidRDefault="00821326" w:rsidP="00821326">
      <w:r>
        <w:t xml:space="preserve">The Executive Management Team is responsible for EMRC’s Strategic Asset Management Plan (“SAMP”). The SAMP will be reviewed at least once every four years to ensure that it is aligned with EMRC’s strategic objectives. </w:t>
      </w:r>
    </w:p>
    <w:p w14:paraId="30C3602C" w14:textId="3924EC8D" w:rsidR="00821326" w:rsidRPr="00D3305D" w:rsidRDefault="00821326" w:rsidP="00356782">
      <w:pPr>
        <w:pStyle w:val="Heading2"/>
        <w:numPr>
          <w:ilvl w:val="1"/>
          <w:numId w:val="18"/>
        </w:numPr>
        <w:ind w:left="0" w:firstLine="0"/>
        <w:rPr>
          <w:noProof/>
          <w:color w:val="83AD27"/>
        </w:rPr>
      </w:pPr>
      <w:bookmarkStart w:id="20" w:name="_Toc345927187"/>
      <w:bookmarkStart w:id="21" w:name="_Toc50045405"/>
      <w:bookmarkStart w:id="22" w:name="_Toc207186098"/>
      <w:r w:rsidRPr="00821326">
        <w:rPr>
          <w:noProof/>
          <w:color w:val="83AD27"/>
        </w:rPr>
        <w:t>Operational Asset Management Planning</w:t>
      </w:r>
      <w:bookmarkEnd w:id="20"/>
      <w:bookmarkEnd w:id="21"/>
      <w:bookmarkEnd w:id="22"/>
      <w:r w:rsidRPr="00821326">
        <w:rPr>
          <w:noProof/>
          <w:color w:val="83AD27"/>
        </w:rPr>
        <w:t xml:space="preserve"> </w:t>
      </w:r>
    </w:p>
    <w:p w14:paraId="524D3E44" w14:textId="77777777" w:rsidR="00821326" w:rsidRPr="00500B05" w:rsidRDefault="00821326" w:rsidP="00821326">
      <w:pPr>
        <w:widowControl w:val="0"/>
        <w:overflowPunct w:val="0"/>
        <w:autoSpaceDE w:val="0"/>
        <w:autoSpaceDN w:val="0"/>
        <w:adjustRightInd w:val="0"/>
        <w:snapToGrid w:val="0"/>
        <w:spacing w:after="120"/>
        <w:textAlignment w:val="baseline"/>
      </w:pPr>
      <w:r w:rsidRPr="00500B05">
        <w:t>Operational Asset Management Plan</w:t>
      </w:r>
      <w:r>
        <w:t xml:space="preserve">s </w:t>
      </w:r>
      <w:r w:rsidRPr="00500B05">
        <w:t xml:space="preserve">define current levels of service and the processes used to manage each of EMRC’s asset classes. </w:t>
      </w:r>
    </w:p>
    <w:p w14:paraId="47959D14" w14:textId="5893A96D" w:rsidR="00821326" w:rsidRDefault="00821326" w:rsidP="00821326">
      <w:r>
        <w:t>The Operational Asset Management Plans (“OAMP”) underpin EMRC’s asset management activities and detail action plans on key initiatives to be delivered by individual business units. The OAMPs are developed with input from the Executive Management Team and senior personnel from all business units to ensure that asset management objectives are clearly understood, agreed upon and actioned.  OMPs are developed for key programmes including:</w:t>
      </w:r>
    </w:p>
    <w:p w14:paraId="51B7E7CC" w14:textId="77777777" w:rsidR="00821326" w:rsidRDefault="00821326" w:rsidP="00356782">
      <w:pPr>
        <w:pStyle w:val="ListParagraph"/>
        <w:numPr>
          <w:ilvl w:val="0"/>
          <w:numId w:val="17"/>
        </w:numPr>
        <w:spacing w:after="0"/>
        <w:contextualSpacing/>
        <w:jc w:val="left"/>
      </w:pPr>
      <w:r>
        <w:t>Buildings and land</w:t>
      </w:r>
    </w:p>
    <w:p w14:paraId="17446DA8" w14:textId="77777777" w:rsidR="00821326" w:rsidRDefault="00821326" w:rsidP="00356782">
      <w:pPr>
        <w:pStyle w:val="ListParagraph"/>
        <w:numPr>
          <w:ilvl w:val="0"/>
          <w:numId w:val="17"/>
        </w:numPr>
        <w:spacing w:after="0"/>
        <w:contextualSpacing/>
        <w:jc w:val="left"/>
      </w:pPr>
      <w:r>
        <w:t>Structures</w:t>
      </w:r>
    </w:p>
    <w:p w14:paraId="372F72C4" w14:textId="77777777" w:rsidR="00821326" w:rsidRDefault="00821326" w:rsidP="00356782">
      <w:pPr>
        <w:pStyle w:val="ListParagraph"/>
        <w:numPr>
          <w:ilvl w:val="0"/>
          <w:numId w:val="17"/>
        </w:numPr>
        <w:spacing w:after="0"/>
        <w:contextualSpacing/>
        <w:jc w:val="left"/>
      </w:pPr>
      <w:r>
        <w:t>Plant and equipment</w:t>
      </w:r>
    </w:p>
    <w:p w14:paraId="32528D8A" w14:textId="77777777" w:rsidR="00821326" w:rsidRDefault="00821326" w:rsidP="00356782">
      <w:pPr>
        <w:pStyle w:val="ListParagraph"/>
        <w:numPr>
          <w:ilvl w:val="0"/>
          <w:numId w:val="17"/>
        </w:numPr>
        <w:spacing w:after="0"/>
        <w:contextualSpacing/>
        <w:jc w:val="left"/>
      </w:pPr>
      <w:r>
        <w:t>Plant</w:t>
      </w:r>
    </w:p>
    <w:p w14:paraId="240CB3C9" w14:textId="77777777" w:rsidR="00821326" w:rsidRDefault="00821326" w:rsidP="00821326"/>
    <w:p w14:paraId="1659F8E5" w14:textId="77777777" w:rsidR="00821326" w:rsidRPr="00D3305D" w:rsidRDefault="00821326" w:rsidP="00356782">
      <w:pPr>
        <w:pStyle w:val="Heading2"/>
        <w:numPr>
          <w:ilvl w:val="1"/>
          <w:numId w:val="18"/>
        </w:numPr>
        <w:ind w:left="0" w:firstLine="0"/>
        <w:rPr>
          <w:noProof/>
          <w:color w:val="83AD27"/>
        </w:rPr>
      </w:pPr>
      <w:bookmarkStart w:id="23" w:name="_Toc50045406"/>
      <w:bookmarkStart w:id="24" w:name="_Toc207186099"/>
      <w:r w:rsidRPr="00D3305D">
        <w:rPr>
          <w:noProof/>
          <w:color w:val="83AD27"/>
        </w:rPr>
        <w:t>Evaluation</w:t>
      </w:r>
      <w:bookmarkEnd w:id="23"/>
      <w:bookmarkEnd w:id="24"/>
    </w:p>
    <w:p w14:paraId="14AE18A0" w14:textId="6685F615" w:rsidR="00D3305D" w:rsidRDefault="00821326" w:rsidP="00821326">
      <w:pPr>
        <w:widowControl w:val="0"/>
        <w:overflowPunct w:val="0"/>
        <w:autoSpaceDE w:val="0"/>
        <w:autoSpaceDN w:val="0"/>
        <w:adjustRightInd w:val="0"/>
        <w:snapToGrid w:val="0"/>
        <w:spacing w:after="120"/>
        <w:textAlignment w:val="baseline"/>
      </w:pPr>
      <w:r>
        <w:t>Evaluation</w:t>
      </w:r>
      <w:r w:rsidRPr="00500B05">
        <w:t xml:space="preserve"> will be conducted annually to ensure the sustainable delivery of EMRC’s asset </w:t>
      </w:r>
      <w:r w:rsidR="00116356" w:rsidRPr="00500B05">
        <w:t>portfolio and</w:t>
      </w:r>
      <w:r w:rsidRPr="00500B05">
        <w:t xml:space="preserve"> maintain a ‘whole of organisation’ approach to asset management.</w:t>
      </w:r>
    </w:p>
    <w:p w14:paraId="556D49C1" w14:textId="77777777" w:rsidR="00116356" w:rsidRDefault="00116356" w:rsidP="00821326">
      <w:pPr>
        <w:widowControl w:val="0"/>
        <w:overflowPunct w:val="0"/>
        <w:autoSpaceDE w:val="0"/>
        <w:autoSpaceDN w:val="0"/>
        <w:adjustRightInd w:val="0"/>
        <w:snapToGrid w:val="0"/>
        <w:spacing w:after="120"/>
        <w:textAlignment w:val="baseline"/>
      </w:pPr>
    </w:p>
    <w:p w14:paraId="68BEDCBD" w14:textId="77777777" w:rsidR="00116356" w:rsidRDefault="00116356" w:rsidP="00821326">
      <w:pPr>
        <w:widowControl w:val="0"/>
        <w:overflowPunct w:val="0"/>
        <w:autoSpaceDE w:val="0"/>
        <w:autoSpaceDN w:val="0"/>
        <w:adjustRightInd w:val="0"/>
        <w:snapToGrid w:val="0"/>
        <w:spacing w:after="120"/>
        <w:textAlignment w:val="baseline"/>
      </w:pPr>
    </w:p>
    <w:p w14:paraId="60903069" w14:textId="77777777" w:rsidR="00116356" w:rsidRDefault="00116356" w:rsidP="00821326">
      <w:pPr>
        <w:widowControl w:val="0"/>
        <w:overflowPunct w:val="0"/>
        <w:autoSpaceDE w:val="0"/>
        <w:autoSpaceDN w:val="0"/>
        <w:adjustRightInd w:val="0"/>
        <w:snapToGrid w:val="0"/>
        <w:spacing w:after="120"/>
        <w:textAlignment w:val="baseline"/>
      </w:pPr>
    </w:p>
    <w:p w14:paraId="211BA58D" w14:textId="6D6F332C" w:rsidR="00821326" w:rsidRPr="00500B05" w:rsidRDefault="00D3305D" w:rsidP="00D3305D">
      <w:pPr>
        <w:spacing w:after="200" w:line="276" w:lineRule="auto"/>
        <w:jc w:val="left"/>
      </w:pPr>
      <w:r>
        <w:br w:type="page"/>
      </w:r>
    </w:p>
    <w:p w14:paraId="36D17811" w14:textId="45A563CF" w:rsidR="00821326" w:rsidRPr="00D3305D" w:rsidRDefault="00821326" w:rsidP="00356782">
      <w:pPr>
        <w:pStyle w:val="Heading2"/>
        <w:numPr>
          <w:ilvl w:val="1"/>
          <w:numId w:val="18"/>
        </w:numPr>
        <w:ind w:left="0" w:firstLine="0"/>
        <w:rPr>
          <w:noProof/>
          <w:color w:val="83AD27"/>
        </w:rPr>
      </w:pPr>
      <w:bookmarkStart w:id="25" w:name="_Toc50045407"/>
      <w:bookmarkStart w:id="26" w:name="_Toc207186100"/>
      <w:r w:rsidRPr="00D3305D">
        <w:rPr>
          <w:noProof/>
          <w:color w:val="83AD27"/>
        </w:rPr>
        <w:lastRenderedPageBreak/>
        <w:t>Reporting</w:t>
      </w:r>
      <w:bookmarkEnd w:id="25"/>
      <w:bookmarkEnd w:id="26"/>
    </w:p>
    <w:p w14:paraId="1CF7F540" w14:textId="77777777" w:rsidR="00821326" w:rsidRDefault="00821326" w:rsidP="00821326">
      <w:r>
        <w:t>EMRC undertakes both internal and external reporting to ensure alignment of priorities and service delivery. Reports are provided to the Executive Team each month. Council will receive bi-annual reports and performance will also be reported to the Community through the Annual Report.</w:t>
      </w:r>
    </w:p>
    <w:p w14:paraId="6BF4AEEE" w14:textId="77777777" w:rsidR="00D3305D" w:rsidRDefault="00D3305D" w:rsidP="00821326"/>
    <w:p w14:paraId="56CB274C" w14:textId="55DEB2AB" w:rsidR="00D3305D" w:rsidRDefault="00D3305D" w:rsidP="00356782">
      <w:pPr>
        <w:pStyle w:val="Heading1"/>
        <w:numPr>
          <w:ilvl w:val="0"/>
          <w:numId w:val="8"/>
        </w:numPr>
      </w:pPr>
      <w:bookmarkStart w:id="27" w:name="_Toc207186101"/>
      <w:r>
        <w:t>Asset Portfolio</w:t>
      </w:r>
      <w:bookmarkEnd w:id="27"/>
    </w:p>
    <w:p w14:paraId="1FCBB838" w14:textId="4EE812F7" w:rsidR="00D3305D" w:rsidRDefault="00D3305D" w:rsidP="00356782">
      <w:pPr>
        <w:pStyle w:val="Heading2"/>
        <w:numPr>
          <w:ilvl w:val="1"/>
          <w:numId w:val="18"/>
        </w:numPr>
        <w:ind w:left="0" w:firstLine="0"/>
        <w:rPr>
          <w:noProof/>
          <w:color w:val="83AD27"/>
        </w:rPr>
      </w:pPr>
      <w:bookmarkStart w:id="28" w:name="_Toc207186102"/>
      <w:r>
        <w:rPr>
          <w:noProof/>
          <w:color w:val="83AD27"/>
        </w:rPr>
        <w:t>Current Asset Portfolio</w:t>
      </w:r>
      <w:bookmarkEnd w:id="28"/>
    </w:p>
    <w:p w14:paraId="2EC9706E" w14:textId="0A170931" w:rsidR="00D3305D" w:rsidRPr="009837AE" w:rsidRDefault="00D3305D" w:rsidP="00D3305D">
      <w:r w:rsidRPr="009837AE">
        <w:t>It has been forecast that the EMRC will be responsible for managing approximately $</w:t>
      </w:r>
      <w:r w:rsidR="00FB7EC6" w:rsidRPr="009837AE">
        <w:t>14</w:t>
      </w:r>
      <w:r w:rsidR="00E17FEE" w:rsidRPr="009837AE">
        <w:t>4.0</w:t>
      </w:r>
      <w:r w:rsidR="009837AE" w:rsidRPr="009837AE">
        <w:t>3</w:t>
      </w:r>
      <w:r w:rsidRPr="009837AE">
        <w:t xml:space="preserve"> million worth of property, plant and equipment on behalf of its member councils as at 30 June 202</w:t>
      </w:r>
      <w:r w:rsidR="006E3B78" w:rsidRPr="009837AE">
        <w:t>6</w:t>
      </w:r>
      <w:r w:rsidRPr="009837AE">
        <w:t xml:space="preserve"> compared to approximately $</w:t>
      </w:r>
      <w:r w:rsidR="00FB7EC6" w:rsidRPr="009837AE">
        <w:t>1</w:t>
      </w:r>
      <w:r w:rsidR="00E17FEE" w:rsidRPr="009837AE">
        <w:t>51</w:t>
      </w:r>
      <w:r w:rsidR="006E3B78" w:rsidRPr="009837AE">
        <w:t>.</w:t>
      </w:r>
      <w:r w:rsidR="00E17FEE" w:rsidRPr="009837AE">
        <w:t>80</w:t>
      </w:r>
      <w:r w:rsidR="006E3B78" w:rsidRPr="009837AE">
        <w:t xml:space="preserve"> </w:t>
      </w:r>
      <w:r w:rsidRPr="009837AE">
        <w:t>million as at 30 June 202</w:t>
      </w:r>
      <w:r w:rsidR="006E3B78" w:rsidRPr="009837AE">
        <w:t>5</w:t>
      </w:r>
      <w:r w:rsidRPr="009837AE">
        <w:t xml:space="preserve">.  </w:t>
      </w:r>
    </w:p>
    <w:p w14:paraId="784627F4" w14:textId="60333D07" w:rsidR="00D3305D" w:rsidRDefault="00D3305D" w:rsidP="00D3305D">
      <w:r w:rsidRPr="00FB7EC6">
        <w:t>The following chart depicts EMRC’s forecast asset portfolio as at 30 June 202</w:t>
      </w:r>
      <w:r w:rsidR="006E3B78">
        <w:t>6</w:t>
      </w:r>
      <w:r w:rsidRPr="00FB7EC6">
        <w:t>.</w:t>
      </w:r>
      <w:r w:rsidR="006E3B78">
        <w:t xml:space="preserve">    </w:t>
      </w:r>
    </w:p>
    <w:p w14:paraId="72BC7958" w14:textId="18657D0A" w:rsidR="00D3305D" w:rsidRDefault="005C1E37">
      <w:pPr>
        <w:spacing w:after="200" w:line="276" w:lineRule="auto"/>
        <w:jc w:val="left"/>
      </w:pPr>
      <w:r w:rsidRPr="005C1E37">
        <w:rPr>
          <w:noProof/>
        </w:rPr>
        <w:drawing>
          <wp:inline distT="0" distB="0" distL="0" distR="0" wp14:anchorId="087AA9FA" wp14:editId="6D75B743">
            <wp:extent cx="6000750" cy="4218361"/>
            <wp:effectExtent l="0" t="0" r="0" b="0"/>
            <wp:docPr id="12819731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973160" name=""/>
                    <pic:cNvPicPr/>
                  </pic:nvPicPr>
                  <pic:blipFill>
                    <a:blip r:embed="rId22"/>
                    <a:stretch>
                      <a:fillRect/>
                    </a:stretch>
                  </pic:blipFill>
                  <pic:spPr>
                    <a:xfrm>
                      <a:off x="0" y="0"/>
                      <a:ext cx="6002892" cy="4219867"/>
                    </a:xfrm>
                    <a:prstGeom prst="rect">
                      <a:avLst/>
                    </a:prstGeom>
                  </pic:spPr>
                </pic:pic>
              </a:graphicData>
            </a:graphic>
          </wp:inline>
        </w:drawing>
      </w:r>
    </w:p>
    <w:p w14:paraId="2DFC8274" w14:textId="16AC9BDF" w:rsidR="00D3305D" w:rsidRDefault="007A491F" w:rsidP="007A491F">
      <w:pPr>
        <w:spacing w:after="200" w:line="276" w:lineRule="auto"/>
        <w:jc w:val="left"/>
      </w:pPr>
      <w:r>
        <w:br w:type="page"/>
      </w:r>
      <w:r w:rsidR="00D3305D">
        <w:lastRenderedPageBreak/>
        <w:t>EMRC Asset Classes</w:t>
      </w:r>
    </w:p>
    <w:p w14:paraId="54627F9A" w14:textId="4B8E526A" w:rsidR="00D3305D" w:rsidRDefault="00D3305D" w:rsidP="00D3305D">
      <w:r>
        <w:t>The majority of EMRC’s assets are located in the following locations:</w:t>
      </w:r>
    </w:p>
    <w:p w14:paraId="61C62610" w14:textId="77777777" w:rsidR="00D3305D" w:rsidRDefault="00D3305D" w:rsidP="00356782">
      <w:pPr>
        <w:numPr>
          <w:ilvl w:val="0"/>
          <w:numId w:val="9"/>
        </w:numPr>
        <w:spacing w:after="0"/>
      </w:pPr>
      <w:r>
        <w:t>The Red Hill Waste Management Facility, including the airspace;</w:t>
      </w:r>
    </w:p>
    <w:p w14:paraId="09AF1BF7" w14:textId="78E9BB68" w:rsidR="00D3305D" w:rsidRPr="007B32B9" w:rsidRDefault="00D3305D" w:rsidP="00356782">
      <w:pPr>
        <w:numPr>
          <w:ilvl w:val="0"/>
          <w:numId w:val="9"/>
        </w:numPr>
        <w:spacing w:after="0"/>
      </w:pPr>
      <w:r w:rsidRPr="007B32B9">
        <w:t xml:space="preserve">The Hazelmere </w:t>
      </w:r>
      <w:r w:rsidR="007B32B9" w:rsidRPr="00DA7683">
        <w:rPr>
          <w:lang w:val="en-US"/>
        </w:rPr>
        <w:t>Resource Recovery Park</w:t>
      </w:r>
      <w:r w:rsidRPr="007B32B9">
        <w:t>; and</w:t>
      </w:r>
    </w:p>
    <w:p w14:paraId="667C911C" w14:textId="79342560" w:rsidR="00D3305D" w:rsidRDefault="00D3305D" w:rsidP="00356782">
      <w:pPr>
        <w:numPr>
          <w:ilvl w:val="0"/>
          <w:numId w:val="9"/>
        </w:numPr>
        <w:spacing w:after="0"/>
      </w:pPr>
      <w:r>
        <w:t>Ascot Place Office and neighbouring land.</w:t>
      </w:r>
    </w:p>
    <w:p w14:paraId="4A2A6740" w14:textId="77777777" w:rsidR="00D3305D" w:rsidRDefault="00D3305D" w:rsidP="00D3305D">
      <w:pPr>
        <w:spacing w:after="0"/>
        <w:ind w:left="360"/>
      </w:pPr>
    </w:p>
    <w:p w14:paraId="191D5485" w14:textId="695FC965" w:rsidR="00D3305D" w:rsidRDefault="00D3305D" w:rsidP="00D3305D">
      <w:r>
        <w:t>The table below provides details of classes, sub-classes and the depreciation rate related to the assets managed by EMRC:</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3817"/>
        <w:gridCol w:w="2278"/>
        <w:gridCol w:w="2268"/>
      </w:tblGrid>
      <w:tr w:rsidR="00610591" w:rsidRPr="00EB6BE9" w14:paraId="5E05B5D6" w14:textId="77777777" w:rsidTr="00610591">
        <w:trPr>
          <w:tblHeader/>
        </w:trPr>
        <w:tc>
          <w:tcPr>
            <w:tcW w:w="1980" w:type="dxa"/>
            <w:shd w:val="clear" w:color="auto" w:fill="313253"/>
            <w:vAlign w:val="center"/>
          </w:tcPr>
          <w:p w14:paraId="154027BE" w14:textId="77777777" w:rsidR="00610591" w:rsidRPr="00EB6BE9" w:rsidRDefault="00610591" w:rsidP="00610591">
            <w:pPr>
              <w:spacing w:before="120" w:after="120"/>
              <w:jc w:val="left"/>
              <w:rPr>
                <w:b/>
                <w:color w:val="FFFFFF"/>
                <w:lang w:eastAsia="en-AU"/>
              </w:rPr>
            </w:pPr>
            <w:r>
              <w:rPr>
                <w:b/>
                <w:color w:val="FFFFFF"/>
                <w:lang w:eastAsia="en-AU"/>
              </w:rPr>
              <w:t>Asset Class</w:t>
            </w:r>
          </w:p>
        </w:tc>
        <w:tc>
          <w:tcPr>
            <w:tcW w:w="3817" w:type="dxa"/>
            <w:shd w:val="clear" w:color="auto" w:fill="313253"/>
            <w:vAlign w:val="center"/>
          </w:tcPr>
          <w:p w14:paraId="59416B0E" w14:textId="77777777" w:rsidR="00610591" w:rsidRPr="00EB6BE9" w:rsidRDefault="00610591" w:rsidP="00610591">
            <w:pPr>
              <w:spacing w:before="120" w:after="120"/>
              <w:jc w:val="left"/>
              <w:rPr>
                <w:b/>
                <w:color w:val="FFFFFF"/>
                <w:lang w:eastAsia="en-AU"/>
              </w:rPr>
            </w:pPr>
            <w:r>
              <w:rPr>
                <w:b/>
                <w:color w:val="FFFFFF"/>
                <w:lang w:eastAsia="en-AU"/>
              </w:rPr>
              <w:t xml:space="preserve">Asset Sub-Class </w:t>
            </w:r>
          </w:p>
        </w:tc>
        <w:tc>
          <w:tcPr>
            <w:tcW w:w="2278" w:type="dxa"/>
            <w:shd w:val="clear" w:color="auto" w:fill="313253"/>
            <w:vAlign w:val="center"/>
          </w:tcPr>
          <w:p w14:paraId="531F26DA" w14:textId="19C27B1C" w:rsidR="00610591" w:rsidRDefault="00610591" w:rsidP="00610591">
            <w:pPr>
              <w:spacing w:before="120" w:after="120"/>
              <w:jc w:val="center"/>
              <w:rPr>
                <w:b/>
                <w:color w:val="FFFFFF"/>
                <w:lang w:eastAsia="en-AU"/>
              </w:rPr>
            </w:pPr>
            <w:r>
              <w:rPr>
                <w:b/>
                <w:color w:val="FFFFFF"/>
                <w:lang w:eastAsia="en-AU"/>
              </w:rPr>
              <w:t>Useful life</w:t>
            </w:r>
          </w:p>
        </w:tc>
        <w:tc>
          <w:tcPr>
            <w:tcW w:w="2268" w:type="dxa"/>
            <w:shd w:val="clear" w:color="auto" w:fill="313253"/>
            <w:vAlign w:val="center"/>
          </w:tcPr>
          <w:p w14:paraId="3DB4D96B" w14:textId="20689DEB" w:rsidR="00610591" w:rsidRDefault="00610591" w:rsidP="00610591">
            <w:pPr>
              <w:spacing w:before="120" w:after="120"/>
              <w:jc w:val="center"/>
              <w:rPr>
                <w:b/>
                <w:color w:val="FFFFFF"/>
                <w:lang w:eastAsia="en-AU"/>
              </w:rPr>
            </w:pPr>
            <w:r>
              <w:rPr>
                <w:b/>
                <w:color w:val="FFFFFF"/>
                <w:lang w:eastAsia="en-AU"/>
              </w:rPr>
              <w:t>Depreciation %</w:t>
            </w:r>
          </w:p>
        </w:tc>
      </w:tr>
      <w:tr w:rsidR="00610591" w:rsidRPr="00420A8D" w14:paraId="00946622" w14:textId="77777777" w:rsidTr="00610591">
        <w:tc>
          <w:tcPr>
            <w:tcW w:w="1980" w:type="dxa"/>
            <w:vAlign w:val="center"/>
          </w:tcPr>
          <w:p w14:paraId="1C1DB606" w14:textId="77777777" w:rsidR="00610591" w:rsidRPr="00420A8D" w:rsidRDefault="00610591" w:rsidP="00610591">
            <w:pPr>
              <w:keepLines/>
              <w:spacing w:before="120" w:after="120"/>
              <w:ind w:right="51"/>
              <w:jc w:val="left"/>
              <w:outlineLvl w:val="4"/>
            </w:pPr>
            <w:r>
              <w:t xml:space="preserve">Building </w:t>
            </w:r>
          </w:p>
        </w:tc>
        <w:tc>
          <w:tcPr>
            <w:tcW w:w="3817" w:type="dxa"/>
          </w:tcPr>
          <w:p w14:paraId="3ADCD182" w14:textId="77777777" w:rsidR="00610591" w:rsidRDefault="00610591" w:rsidP="00610591">
            <w:pPr>
              <w:pStyle w:val="ListParagraph"/>
              <w:keepLines/>
              <w:numPr>
                <w:ilvl w:val="0"/>
                <w:numId w:val="11"/>
              </w:numPr>
              <w:spacing w:before="120"/>
              <w:ind w:right="51"/>
              <w:contextualSpacing/>
              <w:jc w:val="left"/>
              <w:outlineLvl w:val="4"/>
            </w:pPr>
            <w:r>
              <w:t>Council administration building</w:t>
            </w:r>
          </w:p>
          <w:p w14:paraId="445E2D16" w14:textId="77777777" w:rsidR="00610591" w:rsidRDefault="00610591" w:rsidP="00610591">
            <w:pPr>
              <w:pStyle w:val="ListParagraph"/>
              <w:keepLines/>
              <w:numPr>
                <w:ilvl w:val="0"/>
                <w:numId w:val="11"/>
              </w:numPr>
              <w:spacing w:before="120"/>
              <w:ind w:right="51"/>
              <w:contextualSpacing/>
              <w:jc w:val="left"/>
              <w:outlineLvl w:val="4"/>
            </w:pPr>
            <w:r>
              <w:t>Waste management facility building</w:t>
            </w:r>
          </w:p>
          <w:p w14:paraId="6BF47C0E" w14:textId="77777777" w:rsidR="00610591" w:rsidRPr="00420A8D" w:rsidRDefault="00610591" w:rsidP="00610591">
            <w:pPr>
              <w:pStyle w:val="ListParagraph"/>
              <w:keepLines/>
              <w:numPr>
                <w:ilvl w:val="0"/>
                <w:numId w:val="11"/>
              </w:numPr>
              <w:spacing w:before="120"/>
              <w:ind w:right="51"/>
              <w:contextualSpacing/>
              <w:jc w:val="left"/>
              <w:outlineLvl w:val="4"/>
            </w:pPr>
            <w:r>
              <w:t xml:space="preserve">Other waste management building </w:t>
            </w:r>
          </w:p>
        </w:tc>
        <w:tc>
          <w:tcPr>
            <w:tcW w:w="2278" w:type="dxa"/>
          </w:tcPr>
          <w:p w14:paraId="4EAE07C8" w14:textId="526B092B" w:rsidR="00610591" w:rsidRPr="00CD259F" w:rsidRDefault="00610591" w:rsidP="00610591">
            <w:pPr>
              <w:keepLines/>
              <w:spacing w:before="120" w:after="120"/>
              <w:ind w:right="51"/>
              <w:jc w:val="center"/>
              <w:outlineLvl w:val="4"/>
            </w:pPr>
            <w:r>
              <w:t>7.50</w:t>
            </w:r>
            <w:r w:rsidRPr="00CD259F">
              <w:t xml:space="preserve"> to </w:t>
            </w:r>
            <w:r>
              <w:t>100 years</w:t>
            </w:r>
          </w:p>
          <w:p w14:paraId="58B8B35D" w14:textId="056D7374" w:rsidR="00610591" w:rsidRDefault="00610591" w:rsidP="00610591">
            <w:pPr>
              <w:keepLines/>
              <w:spacing w:before="120" w:after="120"/>
              <w:ind w:right="51"/>
              <w:jc w:val="center"/>
              <w:outlineLvl w:val="4"/>
            </w:pPr>
            <w:r w:rsidRPr="00CD259F">
              <w:t>(Based on components)</w:t>
            </w:r>
          </w:p>
        </w:tc>
        <w:tc>
          <w:tcPr>
            <w:tcW w:w="2268" w:type="dxa"/>
          </w:tcPr>
          <w:p w14:paraId="1D4827D7" w14:textId="42DE65C5" w:rsidR="00610591" w:rsidRPr="00CD259F" w:rsidRDefault="00610591" w:rsidP="00610591">
            <w:pPr>
              <w:keepLines/>
              <w:spacing w:before="120" w:after="120"/>
              <w:ind w:right="51"/>
              <w:jc w:val="center"/>
              <w:outlineLvl w:val="4"/>
            </w:pPr>
            <w:r>
              <w:t>1.00</w:t>
            </w:r>
            <w:r w:rsidRPr="00CD259F">
              <w:t xml:space="preserve">% to </w:t>
            </w:r>
            <w:r>
              <w:t>13.33</w:t>
            </w:r>
            <w:r w:rsidRPr="00CD259F">
              <w:t>%</w:t>
            </w:r>
          </w:p>
          <w:p w14:paraId="742D153B" w14:textId="77777777" w:rsidR="00610591" w:rsidRPr="00AD26B4" w:rsidRDefault="00610591" w:rsidP="00610591">
            <w:pPr>
              <w:keepLines/>
              <w:spacing w:before="120" w:after="120"/>
              <w:ind w:right="51"/>
              <w:jc w:val="center"/>
              <w:outlineLvl w:val="4"/>
              <w:rPr>
                <w:highlight w:val="yellow"/>
              </w:rPr>
            </w:pPr>
            <w:r w:rsidRPr="00CD259F">
              <w:t>(Based on components)</w:t>
            </w:r>
          </w:p>
        </w:tc>
      </w:tr>
      <w:tr w:rsidR="00610591" w:rsidRPr="00607010" w14:paraId="249CC90A" w14:textId="77777777" w:rsidTr="00610591">
        <w:trPr>
          <w:trHeight w:val="847"/>
        </w:trPr>
        <w:tc>
          <w:tcPr>
            <w:tcW w:w="1980" w:type="dxa"/>
            <w:vAlign w:val="center"/>
          </w:tcPr>
          <w:p w14:paraId="581ED6D4" w14:textId="77777777" w:rsidR="00610591" w:rsidRPr="00420A8D" w:rsidRDefault="00610591" w:rsidP="00610591">
            <w:pPr>
              <w:keepLines/>
              <w:spacing w:before="120" w:after="120"/>
              <w:ind w:right="51"/>
              <w:jc w:val="left"/>
              <w:outlineLvl w:val="4"/>
            </w:pPr>
            <w:r>
              <w:t>Infrastructure - General</w:t>
            </w:r>
          </w:p>
        </w:tc>
        <w:tc>
          <w:tcPr>
            <w:tcW w:w="3817" w:type="dxa"/>
          </w:tcPr>
          <w:p w14:paraId="322470DD" w14:textId="77777777" w:rsidR="00610591" w:rsidRDefault="00610591" w:rsidP="00610591">
            <w:pPr>
              <w:pStyle w:val="ListParagraph"/>
              <w:keepLines/>
              <w:numPr>
                <w:ilvl w:val="0"/>
                <w:numId w:val="20"/>
              </w:numPr>
              <w:spacing w:before="120"/>
              <w:ind w:right="51"/>
              <w:contextualSpacing/>
              <w:jc w:val="left"/>
              <w:outlineLvl w:val="4"/>
            </w:pPr>
            <w:r>
              <w:t>Siltation ponds</w:t>
            </w:r>
          </w:p>
          <w:p w14:paraId="3B0A982A" w14:textId="77777777" w:rsidR="00610591" w:rsidRPr="007E7B98" w:rsidRDefault="00610591" w:rsidP="00610591">
            <w:pPr>
              <w:pStyle w:val="ListParagraph"/>
              <w:keepLines/>
              <w:numPr>
                <w:ilvl w:val="0"/>
                <w:numId w:val="20"/>
              </w:numPr>
              <w:spacing w:before="120"/>
              <w:ind w:right="51"/>
              <w:contextualSpacing/>
              <w:jc w:val="left"/>
              <w:outlineLvl w:val="4"/>
            </w:pPr>
            <w:r>
              <w:t>Roads</w:t>
            </w:r>
          </w:p>
        </w:tc>
        <w:tc>
          <w:tcPr>
            <w:tcW w:w="2278" w:type="dxa"/>
          </w:tcPr>
          <w:p w14:paraId="52F2DCEA" w14:textId="00A9DE03" w:rsidR="00610591" w:rsidRPr="00CD259F" w:rsidRDefault="00610591" w:rsidP="00610591">
            <w:pPr>
              <w:keepLines/>
              <w:spacing w:before="120" w:after="120"/>
              <w:ind w:right="51"/>
              <w:jc w:val="center"/>
              <w:outlineLvl w:val="4"/>
            </w:pPr>
            <w:r>
              <w:t>15 to 105 years</w:t>
            </w:r>
          </w:p>
          <w:p w14:paraId="00DE506C" w14:textId="4A11EA8D" w:rsidR="00610591" w:rsidRPr="00CD259F" w:rsidRDefault="00610591" w:rsidP="00610591">
            <w:pPr>
              <w:keepLines/>
              <w:spacing w:before="120" w:after="120"/>
              <w:ind w:right="51"/>
              <w:jc w:val="center"/>
              <w:outlineLvl w:val="4"/>
            </w:pPr>
            <w:r w:rsidRPr="00CD259F">
              <w:t>(Based on components)</w:t>
            </w:r>
          </w:p>
        </w:tc>
        <w:tc>
          <w:tcPr>
            <w:tcW w:w="2268" w:type="dxa"/>
          </w:tcPr>
          <w:p w14:paraId="207C60D8" w14:textId="4E988529" w:rsidR="00610591" w:rsidRPr="00CD259F" w:rsidRDefault="00610591" w:rsidP="00610591">
            <w:pPr>
              <w:keepLines/>
              <w:spacing w:before="120" w:after="120"/>
              <w:ind w:right="51"/>
              <w:jc w:val="center"/>
              <w:outlineLvl w:val="4"/>
            </w:pPr>
            <w:r w:rsidRPr="00CD259F">
              <w:t>0.</w:t>
            </w:r>
            <w:r>
              <w:t>95</w:t>
            </w:r>
            <w:r w:rsidRPr="00CD259F">
              <w:t xml:space="preserve">% - </w:t>
            </w:r>
            <w:r>
              <w:t>6.67</w:t>
            </w:r>
            <w:r w:rsidRPr="00CD259F">
              <w:t>%</w:t>
            </w:r>
          </w:p>
          <w:p w14:paraId="5E9C1349" w14:textId="77777777" w:rsidR="00610591" w:rsidRPr="00AD26B4" w:rsidRDefault="00610591" w:rsidP="00610591">
            <w:pPr>
              <w:keepLines/>
              <w:spacing w:before="120" w:after="120"/>
              <w:ind w:right="51"/>
              <w:jc w:val="center"/>
              <w:outlineLvl w:val="4"/>
              <w:rPr>
                <w:highlight w:val="yellow"/>
              </w:rPr>
            </w:pPr>
            <w:r w:rsidRPr="00CD259F">
              <w:t>(Based on components)</w:t>
            </w:r>
          </w:p>
        </w:tc>
      </w:tr>
      <w:tr w:rsidR="00610591" w:rsidRPr="00607010" w14:paraId="1B6E649C" w14:textId="77777777" w:rsidTr="00610591">
        <w:tc>
          <w:tcPr>
            <w:tcW w:w="1980" w:type="dxa"/>
            <w:vAlign w:val="center"/>
          </w:tcPr>
          <w:p w14:paraId="2DD93F3A" w14:textId="77777777" w:rsidR="00610591" w:rsidRDefault="00610591" w:rsidP="00610591">
            <w:pPr>
              <w:keepLines/>
              <w:spacing w:before="120" w:after="120"/>
              <w:ind w:right="51"/>
              <w:jc w:val="left"/>
              <w:outlineLvl w:val="4"/>
            </w:pPr>
            <w:r>
              <w:t>Infrastructure - Land Fill Cells</w:t>
            </w:r>
          </w:p>
        </w:tc>
        <w:tc>
          <w:tcPr>
            <w:tcW w:w="3817" w:type="dxa"/>
          </w:tcPr>
          <w:p w14:paraId="025B6F90" w14:textId="77777777" w:rsidR="00610591" w:rsidRDefault="00610591" w:rsidP="00610591">
            <w:pPr>
              <w:pStyle w:val="ListParagraph"/>
              <w:keepLines/>
              <w:numPr>
                <w:ilvl w:val="0"/>
                <w:numId w:val="20"/>
              </w:numPr>
              <w:spacing w:before="120"/>
              <w:ind w:right="51"/>
              <w:contextualSpacing/>
              <w:jc w:val="left"/>
              <w:outlineLvl w:val="4"/>
            </w:pPr>
            <w:r>
              <w:t>Class III cells</w:t>
            </w:r>
          </w:p>
          <w:p w14:paraId="08D3927A" w14:textId="77777777" w:rsidR="00610591" w:rsidRDefault="00610591" w:rsidP="00610591">
            <w:pPr>
              <w:pStyle w:val="ListParagraph"/>
              <w:keepLines/>
              <w:numPr>
                <w:ilvl w:val="0"/>
                <w:numId w:val="20"/>
              </w:numPr>
              <w:spacing w:before="120"/>
              <w:ind w:right="51"/>
              <w:contextualSpacing/>
              <w:jc w:val="left"/>
              <w:outlineLvl w:val="4"/>
            </w:pPr>
            <w:r>
              <w:t>Class IV cells</w:t>
            </w:r>
          </w:p>
        </w:tc>
        <w:tc>
          <w:tcPr>
            <w:tcW w:w="2278" w:type="dxa"/>
          </w:tcPr>
          <w:p w14:paraId="3B22E092" w14:textId="020D370B" w:rsidR="00610591" w:rsidRPr="00CD259F" w:rsidRDefault="00610591" w:rsidP="00610591">
            <w:pPr>
              <w:keepLines/>
              <w:spacing w:before="120" w:after="120"/>
              <w:ind w:right="51"/>
              <w:jc w:val="center"/>
              <w:outlineLvl w:val="4"/>
            </w:pPr>
            <w:r>
              <w:t>Based on</w:t>
            </w:r>
            <w:r w:rsidRPr="00CD259F">
              <w:t xml:space="preserve"> actual us</w:t>
            </w:r>
            <w:r>
              <w:t>age</w:t>
            </w:r>
          </w:p>
        </w:tc>
        <w:tc>
          <w:tcPr>
            <w:tcW w:w="2268" w:type="dxa"/>
          </w:tcPr>
          <w:p w14:paraId="37A6F76A" w14:textId="4FDC9823" w:rsidR="00610591" w:rsidRPr="00AD26B4" w:rsidRDefault="00610591" w:rsidP="00610591">
            <w:pPr>
              <w:keepLines/>
              <w:spacing w:before="120" w:after="120"/>
              <w:ind w:right="51"/>
              <w:jc w:val="center"/>
              <w:outlineLvl w:val="4"/>
              <w:rPr>
                <w:highlight w:val="yellow"/>
              </w:rPr>
            </w:pPr>
            <w:r w:rsidRPr="00CD259F">
              <w:t>% of actual use</w:t>
            </w:r>
          </w:p>
        </w:tc>
      </w:tr>
      <w:tr w:rsidR="00610591" w:rsidRPr="00607010" w14:paraId="1D451EA6" w14:textId="77777777" w:rsidTr="00610591">
        <w:tc>
          <w:tcPr>
            <w:tcW w:w="1980" w:type="dxa"/>
            <w:vAlign w:val="center"/>
          </w:tcPr>
          <w:p w14:paraId="75166752" w14:textId="77777777" w:rsidR="00610591" w:rsidRDefault="00610591" w:rsidP="00610591">
            <w:pPr>
              <w:keepLines/>
              <w:spacing w:before="120" w:after="120"/>
              <w:ind w:right="51"/>
              <w:jc w:val="left"/>
              <w:outlineLvl w:val="4"/>
            </w:pPr>
            <w:r>
              <w:t>Land</w:t>
            </w:r>
          </w:p>
        </w:tc>
        <w:tc>
          <w:tcPr>
            <w:tcW w:w="3817" w:type="dxa"/>
          </w:tcPr>
          <w:p w14:paraId="7786ACE5" w14:textId="77777777" w:rsidR="00610591" w:rsidRDefault="00610591" w:rsidP="00610591">
            <w:pPr>
              <w:pStyle w:val="ListParagraph"/>
              <w:keepLines/>
              <w:numPr>
                <w:ilvl w:val="0"/>
                <w:numId w:val="19"/>
              </w:numPr>
              <w:spacing w:before="120"/>
              <w:ind w:right="51"/>
              <w:contextualSpacing/>
              <w:jc w:val="left"/>
              <w:outlineLvl w:val="4"/>
            </w:pPr>
            <w:r>
              <w:t>Farm land</w:t>
            </w:r>
          </w:p>
          <w:p w14:paraId="04A3D3FE" w14:textId="77777777" w:rsidR="00610591" w:rsidRDefault="00610591" w:rsidP="00610591">
            <w:pPr>
              <w:pStyle w:val="ListParagraph"/>
              <w:keepLines/>
              <w:numPr>
                <w:ilvl w:val="0"/>
                <w:numId w:val="19"/>
              </w:numPr>
              <w:spacing w:before="120"/>
              <w:ind w:right="51"/>
              <w:contextualSpacing/>
              <w:jc w:val="left"/>
              <w:outlineLvl w:val="4"/>
            </w:pPr>
            <w:r>
              <w:t>Commercial land</w:t>
            </w:r>
          </w:p>
          <w:p w14:paraId="1C08620F" w14:textId="77777777" w:rsidR="00610591" w:rsidRDefault="00610591" w:rsidP="00610591">
            <w:pPr>
              <w:pStyle w:val="ListParagraph"/>
              <w:keepLines/>
              <w:numPr>
                <w:ilvl w:val="0"/>
                <w:numId w:val="19"/>
              </w:numPr>
              <w:spacing w:before="120"/>
              <w:ind w:right="51"/>
              <w:contextualSpacing/>
              <w:jc w:val="left"/>
              <w:outlineLvl w:val="4"/>
            </w:pPr>
            <w:r>
              <w:t>Council administration building land</w:t>
            </w:r>
          </w:p>
          <w:p w14:paraId="7C98224E" w14:textId="0D4804E9" w:rsidR="00610591" w:rsidRPr="007E7B98" w:rsidRDefault="00610591" w:rsidP="00610591">
            <w:pPr>
              <w:pStyle w:val="ListParagraph"/>
              <w:keepLines/>
              <w:numPr>
                <w:ilvl w:val="0"/>
                <w:numId w:val="19"/>
              </w:numPr>
              <w:spacing w:before="120"/>
              <w:ind w:right="51"/>
              <w:contextualSpacing/>
              <w:jc w:val="left"/>
              <w:outlineLvl w:val="4"/>
            </w:pPr>
            <w:r>
              <w:t xml:space="preserve">Waste management building land </w:t>
            </w:r>
          </w:p>
        </w:tc>
        <w:tc>
          <w:tcPr>
            <w:tcW w:w="2278" w:type="dxa"/>
          </w:tcPr>
          <w:p w14:paraId="6B5544FA" w14:textId="39E2F5FF" w:rsidR="00610591" w:rsidRPr="00CD259F" w:rsidRDefault="00610591" w:rsidP="00610591">
            <w:pPr>
              <w:keepLines/>
              <w:spacing w:before="120" w:after="120"/>
              <w:ind w:right="51"/>
              <w:jc w:val="center"/>
              <w:outlineLvl w:val="4"/>
            </w:pPr>
            <w:r>
              <w:t>N</w:t>
            </w:r>
            <w:r w:rsidR="000E7539">
              <w:t>ot applicable</w:t>
            </w:r>
          </w:p>
        </w:tc>
        <w:tc>
          <w:tcPr>
            <w:tcW w:w="2268" w:type="dxa"/>
          </w:tcPr>
          <w:p w14:paraId="7368F9D4" w14:textId="1AC6D135" w:rsidR="00610591" w:rsidRPr="00AD26B4" w:rsidRDefault="00610591" w:rsidP="00610591">
            <w:pPr>
              <w:keepLines/>
              <w:spacing w:before="120" w:after="120"/>
              <w:ind w:right="51"/>
              <w:jc w:val="center"/>
              <w:outlineLvl w:val="4"/>
              <w:rPr>
                <w:highlight w:val="yellow"/>
              </w:rPr>
            </w:pPr>
            <w:r w:rsidRPr="00CD259F">
              <w:t>Not depreciated</w:t>
            </w:r>
          </w:p>
        </w:tc>
      </w:tr>
      <w:tr w:rsidR="00610591" w:rsidRPr="00607010" w14:paraId="56B52722" w14:textId="77777777" w:rsidTr="00610591">
        <w:tc>
          <w:tcPr>
            <w:tcW w:w="1980" w:type="dxa"/>
            <w:vAlign w:val="center"/>
          </w:tcPr>
          <w:p w14:paraId="7FB577AE" w14:textId="77777777" w:rsidR="00610591" w:rsidRDefault="00610591" w:rsidP="00610591">
            <w:pPr>
              <w:keepLines/>
              <w:spacing w:before="120" w:after="120"/>
              <w:ind w:right="51"/>
              <w:jc w:val="left"/>
              <w:outlineLvl w:val="4"/>
            </w:pPr>
            <w:r>
              <w:t xml:space="preserve">Plant </w:t>
            </w:r>
          </w:p>
        </w:tc>
        <w:tc>
          <w:tcPr>
            <w:tcW w:w="3817" w:type="dxa"/>
          </w:tcPr>
          <w:p w14:paraId="6FBD42F2" w14:textId="77777777" w:rsidR="00610591" w:rsidRDefault="00610591" w:rsidP="00610591">
            <w:pPr>
              <w:pStyle w:val="ListParagraph"/>
              <w:keepLines/>
              <w:numPr>
                <w:ilvl w:val="0"/>
                <w:numId w:val="21"/>
              </w:numPr>
              <w:spacing w:before="120"/>
              <w:ind w:right="51"/>
              <w:contextualSpacing/>
              <w:jc w:val="left"/>
              <w:outlineLvl w:val="4"/>
            </w:pPr>
            <w:r>
              <w:t>Major plant</w:t>
            </w:r>
          </w:p>
          <w:p w14:paraId="4ABE3E1E" w14:textId="77777777" w:rsidR="00610591" w:rsidRDefault="00610591" w:rsidP="00610591">
            <w:pPr>
              <w:pStyle w:val="ListParagraph"/>
              <w:keepLines/>
              <w:numPr>
                <w:ilvl w:val="0"/>
                <w:numId w:val="21"/>
              </w:numPr>
              <w:spacing w:before="120"/>
              <w:ind w:right="51"/>
              <w:contextualSpacing/>
              <w:jc w:val="left"/>
              <w:outlineLvl w:val="4"/>
            </w:pPr>
            <w:r>
              <w:t>Minor plant</w:t>
            </w:r>
          </w:p>
          <w:p w14:paraId="7F61D6A4" w14:textId="77777777" w:rsidR="00610591" w:rsidRDefault="00610591" w:rsidP="00610591">
            <w:pPr>
              <w:pStyle w:val="ListParagraph"/>
              <w:keepLines/>
              <w:numPr>
                <w:ilvl w:val="0"/>
                <w:numId w:val="21"/>
              </w:numPr>
              <w:spacing w:before="120"/>
              <w:ind w:right="51"/>
              <w:contextualSpacing/>
              <w:jc w:val="left"/>
              <w:outlineLvl w:val="4"/>
            </w:pPr>
            <w:r>
              <w:t>Red Hill landfill vehicles</w:t>
            </w:r>
          </w:p>
          <w:p w14:paraId="6774584C" w14:textId="77777777" w:rsidR="00610591" w:rsidRPr="007E7B98" w:rsidRDefault="00610591" w:rsidP="00610591">
            <w:pPr>
              <w:pStyle w:val="ListParagraph"/>
              <w:keepLines/>
              <w:numPr>
                <w:ilvl w:val="0"/>
                <w:numId w:val="21"/>
              </w:numPr>
              <w:spacing w:before="120"/>
              <w:ind w:right="51"/>
              <w:contextualSpacing/>
              <w:jc w:val="left"/>
              <w:outlineLvl w:val="4"/>
            </w:pPr>
            <w:r>
              <w:t>Ascot Place vehicles</w:t>
            </w:r>
          </w:p>
        </w:tc>
        <w:tc>
          <w:tcPr>
            <w:tcW w:w="2278" w:type="dxa"/>
          </w:tcPr>
          <w:p w14:paraId="6ED75B10" w14:textId="41B3E482" w:rsidR="00610591" w:rsidRDefault="00610591" w:rsidP="00610591">
            <w:pPr>
              <w:keepLines/>
              <w:spacing w:before="120" w:after="120"/>
              <w:ind w:right="51"/>
              <w:jc w:val="center"/>
              <w:outlineLvl w:val="4"/>
            </w:pPr>
            <w:r>
              <w:t>3 to 24 years</w:t>
            </w:r>
          </w:p>
        </w:tc>
        <w:tc>
          <w:tcPr>
            <w:tcW w:w="2268" w:type="dxa"/>
          </w:tcPr>
          <w:p w14:paraId="756C4C39" w14:textId="3F730417" w:rsidR="00610591" w:rsidRPr="00AD26B4" w:rsidRDefault="00610591" w:rsidP="00610591">
            <w:pPr>
              <w:keepLines/>
              <w:spacing w:before="120" w:after="120"/>
              <w:ind w:right="51"/>
              <w:jc w:val="center"/>
              <w:outlineLvl w:val="4"/>
              <w:rPr>
                <w:highlight w:val="yellow"/>
              </w:rPr>
            </w:pPr>
            <w:r>
              <w:t>4.17</w:t>
            </w:r>
            <w:r w:rsidRPr="00CD259F">
              <w:t xml:space="preserve">% to </w:t>
            </w:r>
            <w:r>
              <w:t>33.33</w:t>
            </w:r>
            <w:r w:rsidRPr="00CD259F">
              <w:t>%</w:t>
            </w:r>
          </w:p>
        </w:tc>
      </w:tr>
      <w:tr w:rsidR="00610591" w:rsidRPr="00607010" w14:paraId="6E74EF07" w14:textId="77777777" w:rsidTr="00610591">
        <w:tc>
          <w:tcPr>
            <w:tcW w:w="1980" w:type="dxa"/>
            <w:vAlign w:val="center"/>
          </w:tcPr>
          <w:p w14:paraId="7EAB2A13" w14:textId="77777777" w:rsidR="00610591" w:rsidRDefault="00610591" w:rsidP="00610591">
            <w:pPr>
              <w:keepLines/>
              <w:spacing w:before="120" w:after="120"/>
              <w:ind w:right="51"/>
              <w:jc w:val="left"/>
              <w:outlineLvl w:val="4"/>
            </w:pPr>
            <w:r>
              <w:t xml:space="preserve">Equipment </w:t>
            </w:r>
          </w:p>
        </w:tc>
        <w:tc>
          <w:tcPr>
            <w:tcW w:w="3817" w:type="dxa"/>
          </w:tcPr>
          <w:p w14:paraId="077A1C3B" w14:textId="77777777" w:rsidR="00610591" w:rsidRDefault="00610591" w:rsidP="00610591">
            <w:pPr>
              <w:pStyle w:val="ListParagraph"/>
              <w:keepLines/>
              <w:numPr>
                <w:ilvl w:val="0"/>
                <w:numId w:val="22"/>
              </w:numPr>
              <w:spacing w:before="120"/>
              <w:ind w:right="51"/>
              <w:contextualSpacing/>
              <w:jc w:val="left"/>
              <w:outlineLvl w:val="4"/>
            </w:pPr>
            <w:r>
              <w:t>Office equipment</w:t>
            </w:r>
          </w:p>
          <w:p w14:paraId="7299CAB0" w14:textId="77777777" w:rsidR="00610591" w:rsidRDefault="00610591" w:rsidP="00610591">
            <w:pPr>
              <w:pStyle w:val="ListParagraph"/>
              <w:keepLines/>
              <w:numPr>
                <w:ilvl w:val="0"/>
                <w:numId w:val="22"/>
              </w:numPr>
              <w:spacing w:before="120"/>
              <w:ind w:right="51"/>
              <w:contextualSpacing/>
              <w:jc w:val="left"/>
              <w:outlineLvl w:val="4"/>
            </w:pPr>
            <w:r>
              <w:t>Fire fighting equipment</w:t>
            </w:r>
          </w:p>
          <w:p w14:paraId="1101B82D" w14:textId="77777777" w:rsidR="00610591" w:rsidRDefault="00610591" w:rsidP="00610591">
            <w:pPr>
              <w:pStyle w:val="ListParagraph"/>
              <w:keepLines/>
              <w:numPr>
                <w:ilvl w:val="0"/>
                <w:numId w:val="22"/>
              </w:numPr>
              <w:spacing w:before="120"/>
              <w:ind w:right="51"/>
              <w:contextualSpacing/>
              <w:jc w:val="left"/>
              <w:outlineLvl w:val="4"/>
            </w:pPr>
            <w:r>
              <w:t>Security equipment</w:t>
            </w:r>
          </w:p>
          <w:p w14:paraId="0A03621B" w14:textId="77777777" w:rsidR="00610591" w:rsidRDefault="00610591" w:rsidP="00610591">
            <w:pPr>
              <w:pStyle w:val="ListParagraph"/>
              <w:keepLines/>
              <w:numPr>
                <w:ilvl w:val="0"/>
                <w:numId w:val="22"/>
              </w:numPr>
              <w:spacing w:before="120"/>
              <w:ind w:right="51"/>
              <w:contextualSpacing/>
              <w:jc w:val="left"/>
              <w:outlineLvl w:val="4"/>
            </w:pPr>
            <w:r>
              <w:t>Irrigation equipment</w:t>
            </w:r>
          </w:p>
          <w:p w14:paraId="3ED74B6C" w14:textId="77777777" w:rsidR="00610591" w:rsidRDefault="00610591" w:rsidP="00610591">
            <w:pPr>
              <w:pStyle w:val="ListParagraph"/>
              <w:keepLines/>
              <w:numPr>
                <w:ilvl w:val="0"/>
                <w:numId w:val="22"/>
              </w:numPr>
              <w:spacing w:before="120"/>
              <w:ind w:right="51"/>
              <w:contextualSpacing/>
              <w:jc w:val="left"/>
              <w:outlineLvl w:val="4"/>
            </w:pPr>
            <w:r>
              <w:t>Network communication equipment</w:t>
            </w:r>
          </w:p>
          <w:p w14:paraId="64754F1D" w14:textId="77777777" w:rsidR="00610591" w:rsidRDefault="00610591" w:rsidP="00610591">
            <w:pPr>
              <w:pStyle w:val="ListParagraph"/>
              <w:keepLines/>
              <w:numPr>
                <w:ilvl w:val="0"/>
                <w:numId w:val="22"/>
              </w:numPr>
              <w:spacing w:before="120"/>
              <w:ind w:right="51"/>
              <w:contextualSpacing/>
              <w:jc w:val="left"/>
              <w:outlineLvl w:val="4"/>
            </w:pPr>
            <w:r>
              <w:t>Telephone equipment</w:t>
            </w:r>
          </w:p>
          <w:p w14:paraId="0369066C" w14:textId="77777777" w:rsidR="00610591" w:rsidRPr="007E7B98" w:rsidRDefault="00610591" w:rsidP="00610591">
            <w:pPr>
              <w:pStyle w:val="ListParagraph"/>
              <w:keepLines/>
              <w:numPr>
                <w:ilvl w:val="0"/>
                <w:numId w:val="22"/>
              </w:numPr>
              <w:spacing w:before="120"/>
              <w:ind w:right="51"/>
              <w:contextualSpacing/>
              <w:jc w:val="left"/>
              <w:outlineLvl w:val="4"/>
            </w:pPr>
            <w:r>
              <w:t>Miscellaneous equipment</w:t>
            </w:r>
          </w:p>
        </w:tc>
        <w:tc>
          <w:tcPr>
            <w:tcW w:w="2278" w:type="dxa"/>
          </w:tcPr>
          <w:p w14:paraId="20CD2646" w14:textId="3E4A1F3B" w:rsidR="00610591" w:rsidRDefault="00610591" w:rsidP="00610591">
            <w:pPr>
              <w:keepLines/>
              <w:spacing w:before="120" w:after="120"/>
              <w:ind w:right="51"/>
              <w:jc w:val="center"/>
              <w:outlineLvl w:val="4"/>
            </w:pPr>
            <w:r>
              <w:t>3 to 25 years</w:t>
            </w:r>
          </w:p>
        </w:tc>
        <w:tc>
          <w:tcPr>
            <w:tcW w:w="2268" w:type="dxa"/>
          </w:tcPr>
          <w:p w14:paraId="6F280C83" w14:textId="10006D11" w:rsidR="00610591" w:rsidRPr="00AD26B4" w:rsidRDefault="00610591" w:rsidP="00610591">
            <w:pPr>
              <w:keepLines/>
              <w:spacing w:before="120" w:after="120"/>
              <w:ind w:right="51"/>
              <w:jc w:val="center"/>
              <w:outlineLvl w:val="4"/>
              <w:rPr>
                <w:highlight w:val="yellow"/>
              </w:rPr>
            </w:pPr>
            <w:r>
              <w:t>4.00</w:t>
            </w:r>
            <w:r w:rsidRPr="00CD259F">
              <w:t>% to 33.33%</w:t>
            </w:r>
          </w:p>
        </w:tc>
      </w:tr>
      <w:tr w:rsidR="00610591" w:rsidRPr="00607010" w14:paraId="02613FD4" w14:textId="77777777" w:rsidTr="00610591">
        <w:tc>
          <w:tcPr>
            <w:tcW w:w="1980" w:type="dxa"/>
            <w:vAlign w:val="center"/>
          </w:tcPr>
          <w:p w14:paraId="1702E00C" w14:textId="77777777" w:rsidR="00610591" w:rsidRDefault="00610591" w:rsidP="00610591">
            <w:pPr>
              <w:keepLines/>
              <w:spacing w:before="120" w:after="120"/>
              <w:ind w:right="51"/>
              <w:jc w:val="left"/>
              <w:outlineLvl w:val="4"/>
            </w:pPr>
            <w:r>
              <w:t>Information Technology</w:t>
            </w:r>
          </w:p>
        </w:tc>
        <w:tc>
          <w:tcPr>
            <w:tcW w:w="3817" w:type="dxa"/>
          </w:tcPr>
          <w:p w14:paraId="6459F39D" w14:textId="77777777" w:rsidR="00610591" w:rsidRDefault="00610591" w:rsidP="00610591">
            <w:pPr>
              <w:pStyle w:val="ListParagraph"/>
              <w:keepLines/>
              <w:numPr>
                <w:ilvl w:val="0"/>
                <w:numId w:val="23"/>
              </w:numPr>
              <w:spacing w:before="120"/>
              <w:ind w:right="51"/>
              <w:contextualSpacing/>
              <w:jc w:val="left"/>
              <w:outlineLvl w:val="4"/>
            </w:pPr>
            <w:r>
              <w:t>Hardware</w:t>
            </w:r>
          </w:p>
          <w:p w14:paraId="69E3C445" w14:textId="77777777" w:rsidR="00610591" w:rsidRDefault="00610591" w:rsidP="00610591">
            <w:pPr>
              <w:pStyle w:val="ListParagraph"/>
              <w:keepLines/>
              <w:numPr>
                <w:ilvl w:val="0"/>
                <w:numId w:val="23"/>
              </w:numPr>
              <w:spacing w:before="120"/>
              <w:ind w:right="51"/>
              <w:contextualSpacing/>
              <w:jc w:val="left"/>
              <w:outlineLvl w:val="4"/>
            </w:pPr>
            <w:r>
              <w:t>Software</w:t>
            </w:r>
          </w:p>
          <w:p w14:paraId="61ED7D08" w14:textId="77777777" w:rsidR="00610591" w:rsidRDefault="00610591" w:rsidP="00610591">
            <w:pPr>
              <w:pStyle w:val="ListParagraph"/>
              <w:keepLines/>
              <w:numPr>
                <w:ilvl w:val="0"/>
                <w:numId w:val="23"/>
              </w:numPr>
              <w:spacing w:before="120"/>
              <w:ind w:right="51"/>
              <w:contextualSpacing/>
              <w:jc w:val="left"/>
              <w:outlineLvl w:val="4"/>
            </w:pPr>
            <w:r>
              <w:t>Systems (Records management, financial, human resources etc.)</w:t>
            </w:r>
          </w:p>
        </w:tc>
        <w:tc>
          <w:tcPr>
            <w:tcW w:w="2278" w:type="dxa"/>
          </w:tcPr>
          <w:p w14:paraId="73897FB3" w14:textId="6BDB531B" w:rsidR="00610591" w:rsidRDefault="00610591" w:rsidP="00610591">
            <w:pPr>
              <w:keepLines/>
              <w:spacing w:before="120" w:after="120"/>
              <w:ind w:right="51"/>
              <w:jc w:val="center"/>
              <w:outlineLvl w:val="4"/>
            </w:pPr>
            <w:r>
              <w:t>3 to 25 years</w:t>
            </w:r>
          </w:p>
        </w:tc>
        <w:tc>
          <w:tcPr>
            <w:tcW w:w="2268" w:type="dxa"/>
          </w:tcPr>
          <w:p w14:paraId="6EE2804F" w14:textId="685F3EC0" w:rsidR="00610591" w:rsidRPr="00CD259F" w:rsidRDefault="00610591" w:rsidP="00610591">
            <w:pPr>
              <w:keepLines/>
              <w:spacing w:before="120" w:after="120"/>
              <w:ind w:right="51"/>
              <w:jc w:val="center"/>
              <w:outlineLvl w:val="4"/>
            </w:pPr>
            <w:r>
              <w:t>4.00</w:t>
            </w:r>
            <w:r w:rsidRPr="00CD259F">
              <w:t xml:space="preserve">% to </w:t>
            </w:r>
            <w:r>
              <w:t>33.33</w:t>
            </w:r>
            <w:r w:rsidRPr="00CD259F">
              <w:t>%</w:t>
            </w:r>
          </w:p>
        </w:tc>
      </w:tr>
      <w:tr w:rsidR="00610591" w:rsidRPr="00607010" w14:paraId="2758918D" w14:textId="77777777" w:rsidTr="00610591">
        <w:tc>
          <w:tcPr>
            <w:tcW w:w="1980" w:type="dxa"/>
            <w:vAlign w:val="center"/>
          </w:tcPr>
          <w:p w14:paraId="67DA557F" w14:textId="77777777" w:rsidR="00610591" w:rsidRDefault="00610591" w:rsidP="00610591">
            <w:pPr>
              <w:keepLines/>
              <w:spacing w:before="120" w:after="120"/>
              <w:ind w:right="51"/>
              <w:jc w:val="left"/>
              <w:outlineLvl w:val="4"/>
            </w:pPr>
            <w:r>
              <w:t xml:space="preserve">Furniture and Fittings </w:t>
            </w:r>
          </w:p>
        </w:tc>
        <w:tc>
          <w:tcPr>
            <w:tcW w:w="3817" w:type="dxa"/>
          </w:tcPr>
          <w:p w14:paraId="3E0ECCCB" w14:textId="77777777" w:rsidR="00610591" w:rsidRDefault="00610591" w:rsidP="00610591">
            <w:pPr>
              <w:pStyle w:val="ListParagraph"/>
              <w:keepLines/>
              <w:numPr>
                <w:ilvl w:val="0"/>
                <w:numId w:val="23"/>
              </w:numPr>
              <w:spacing w:before="120"/>
              <w:ind w:right="51"/>
              <w:contextualSpacing/>
              <w:jc w:val="left"/>
              <w:outlineLvl w:val="4"/>
            </w:pPr>
            <w:r>
              <w:t>Office furniture and fittings</w:t>
            </w:r>
          </w:p>
          <w:p w14:paraId="58D3688D" w14:textId="77777777" w:rsidR="00610591" w:rsidRDefault="00610591" w:rsidP="00610591">
            <w:pPr>
              <w:pStyle w:val="ListParagraph"/>
              <w:keepLines/>
              <w:numPr>
                <w:ilvl w:val="0"/>
                <w:numId w:val="23"/>
              </w:numPr>
              <w:spacing w:before="120"/>
              <w:ind w:right="51"/>
              <w:contextualSpacing/>
              <w:jc w:val="left"/>
              <w:outlineLvl w:val="4"/>
            </w:pPr>
            <w:r>
              <w:t>Miscellaneous furniture and fittings</w:t>
            </w:r>
          </w:p>
          <w:p w14:paraId="415EDD23" w14:textId="77777777" w:rsidR="00610591" w:rsidRPr="007E7B98" w:rsidRDefault="00610591" w:rsidP="00610591">
            <w:pPr>
              <w:pStyle w:val="ListParagraph"/>
              <w:keepLines/>
              <w:numPr>
                <w:ilvl w:val="0"/>
                <w:numId w:val="23"/>
              </w:numPr>
              <w:spacing w:before="120"/>
              <w:ind w:right="51"/>
              <w:contextualSpacing/>
              <w:jc w:val="left"/>
              <w:outlineLvl w:val="4"/>
            </w:pPr>
            <w:r>
              <w:t xml:space="preserve">Artworks owned </w:t>
            </w:r>
          </w:p>
        </w:tc>
        <w:tc>
          <w:tcPr>
            <w:tcW w:w="2278" w:type="dxa"/>
          </w:tcPr>
          <w:p w14:paraId="641C23BF" w14:textId="77777777" w:rsidR="00610591" w:rsidRDefault="00610591" w:rsidP="00610591">
            <w:pPr>
              <w:keepLines/>
              <w:spacing w:before="120" w:after="120"/>
              <w:ind w:right="51"/>
              <w:jc w:val="center"/>
              <w:outlineLvl w:val="4"/>
            </w:pPr>
            <w:r>
              <w:t>3 to 25 years</w:t>
            </w:r>
            <w:r w:rsidRPr="00CD259F">
              <w:t xml:space="preserve"> </w:t>
            </w:r>
          </w:p>
          <w:p w14:paraId="5D324032" w14:textId="6AAADD52" w:rsidR="00610591" w:rsidRDefault="00610591" w:rsidP="00610591">
            <w:pPr>
              <w:keepLines/>
              <w:spacing w:before="120" w:after="120"/>
              <w:ind w:right="51"/>
              <w:jc w:val="center"/>
              <w:outlineLvl w:val="4"/>
            </w:pPr>
            <w:r w:rsidRPr="00CD259F">
              <w:t xml:space="preserve">Artworks: </w:t>
            </w:r>
            <w:r w:rsidR="000E7539">
              <w:t>Not applicable</w:t>
            </w:r>
          </w:p>
        </w:tc>
        <w:tc>
          <w:tcPr>
            <w:tcW w:w="2268" w:type="dxa"/>
          </w:tcPr>
          <w:p w14:paraId="6F56617A" w14:textId="2E9D4A2E" w:rsidR="00610591" w:rsidRPr="00CD259F" w:rsidRDefault="00610591" w:rsidP="00610591">
            <w:pPr>
              <w:keepLines/>
              <w:spacing w:before="120" w:after="120"/>
              <w:ind w:right="51"/>
              <w:jc w:val="center"/>
              <w:outlineLvl w:val="4"/>
            </w:pPr>
            <w:r>
              <w:t>4.00</w:t>
            </w:r>
            <w:r w:rsidRPr="00CD259F">
              <w:t xml:space="preserve">% to </w:t>
            </w:r>
            <w:r>
              <w:t>33.33</w:t>
            </w:r>
            <w:r w:rsidRPr="00CD259F">
              <w:t>%</w:t>
            </w:r>
          </w:p>
          <w:p w14:paraId="5FE67663" w14:textId="77777777" w:rsidR="00610591" w:rsidRPr="00AD26B4" w:rsidRDefault="00610591" w:rsidP="00610591">
            <w:pPr>
              <w:keepLines/>
              <w:spacing w:before="120" w:after="120"/>
              <w:ind w:right="51"/>
              <w:jc w:val="center"/>
              <w:outlineLvl w:val="4"/>
              <w:rPr>
                <w:highlight w:val="yellow"/>
              </w:rPr>
            </w:pPr>
            <w:r w:rsidRPr="00CD259F">
              <w:t>Artworks: Not depreciated</w:t>
            </w:r>
          </w:p>
        </w:tc>
      </w:tr>
    </w:tbl>
    <w:p w14:paraId="32A13627" w14:textId="0FB4AEB3" w:rsidR="00D3305D" w:rsidRPr="00D3305D" w:rsidRDefault="00D3305D" w:rsidP="00356782">
      <w:pPr>
        <w:pStyle w:val="Heading1"/>
        <w:numPr>
          <w:ilvl w:val="0"/>
          <w:numId w:val="8"/>
        </w:numPr>
      </w:pPr>
      <w:bookmarkStart w:id="29" w:name="_Toc207186104"/>
      <w:r w:rsidRPr="00D3305D">
        <w:lastRenderedPageBreak/>
        <w:t>Asset Management Strategy</w:t>
      </w:r>
      <w:bookmarkEnd w:id="29"/>
    </w:p>
    <w:p w14:paraId="2F6BCE05" w14:textId="666FC379" w:rsidR="00D3305D" w:rsidRDefault="00D3305D" w:rsidP="00D3305D">
      <w:r>
        <w:t xml:space="preserve">EMRC’s </w:t>
      </w:r>
      <w:r w:rsidR="001E1EE8">
        <w:t xml:space="preserve">revised </w:t>
      </w:r>
      <w:r>
        <w:t xml:space="preserve">10 Year Strategic Plan focuses on sustainability and helps address social, environmental, economic and governance issues in an inclusive and effective manner. As the Western Australia’s transportation hub, the Region experiences rapid expansion and growth with major capital investments including intermodal freight terminal development, major airport and road development, and education and health investment. </w:t>
      </w:r>
    </w:p>
    <w:p w14:paraId="753FF777" w14:textId="6D0D1C73" w:rsidR="00D3305D" w:rsidRDefault="00D3305D" w:rsidP="00D3305D">
      <w:r>
        <w:t xml:space="preserve">These developments create a need for strategic and operational asset management planning to ensure that EMRC continues to deliver quality services to their six member councils. </w:t>
      </w:r>
    </w:p>
    <w:p w14:paraId="16CE2EC0" w14:textId="2B095D1E" w:rsidR="00D3305D" w:rsidRDefault="00D3305D" w:rsidP="00D3305D">
      <w:r>
        <w:t xml:space="preserve">EMRC’s asset management strategy is to plan, acquire and maintain an optimal asset portfolio to meet current and future delivery needs. The strategy involves maintaining capacity for existing service delivery needs and planning for new capacity to cope with future demands. </w:t>
      </w:r>
    </w:p>
    <w:p w14:paraId="1683CCC0" w14:textId="21460CC2" w:rsidR="00D3305D" w:rsidRDefault="00D3305D" w:rsidP="00D3305D">
      <w:r>
        <w:t xml:space="preserve">A clear strategy will ensure the following: </w:t>
      </w:r>
    </w:p>
    <w:p w14:paraId="595292D4" w14:textId="77777777" w:rsidR="00D3305D" w:rsidRDefault="00D3305D" w:rsidP="00356782">
      <w:pPr>
        <w:numPr>
          <w:ilvl w:val="0"/>
          <w:numId w:val="9"/>
        </w:numPr>
        <w:spacing w:after="0"/>
      </w:pPr>
      <w:r>
        <w:t>Relevant legislative requirements together with political, social, economic and environmental requirements are considered;</w:t>
      </w:r>
    </w:p>
    <w:p w14:paraId="4FD7A7E1" w14:textId="77777777" w:rsidR="00D3305D" w:rsidRDefault="00D3305D" w:rsidP="00356782">
      <w:pPr>
        <w:numPr>
          <w:ilvl w:val="0"/>
          <w:numId w:val="9"/>
        </w:numPr>
        <w:spacing w:after="0"/>
      </w:pPr>
      <w:r>
        <w:t xml:space="preserve">Consistent, systematic and appropriate asset management principles are applied across all levels; </w:t>
      </w:r>
    </w:p>
    <w:p w14:paraId="1F504CEA" w14:textId="77777777" w:rsidR="00D3305D" w:rsidRDefault="00D3305D" w:rsidP="00356782">
      <w:pPr>
        <w:numPr>
          <w:ilvl w:val="0"/>
          <w:numId w:val="9"/>
        </w:numPr>
        <w:spacing w:after="0"/>
      </w:pPr>
      <w:r>
        <w:t xml:space="preserve">Integration of asset management with strategic planning and operational processes; </w:t>
      </w:r>
    </w:p>
    <w:p w14:paraId="66A36F3E" w14:textId="77777777" w:rsidR="00D3305D" w:rsidRDefault="00D3305D" w:rsidP="00356782">
      <w:pPr>
        <w:numPr>
          <w:ilvl w:val="0"/>
          <w:numId w:val="9"/>
        </w:numPr>
        <w:spacing w:after="0"/>
      </w:pPr>
      <w:r>
        <w:t xml:space="preserve">Prioritisation of asset acquisitions, operations, maintenance and disposal activities; </w:t>
      </w:r>
    </w:p>
    <w:p w14:paraId="26EF8D3E" w14:textId="77777777" w:rsidR="00D3305D" w:rsidRDefault="00D3305D" w:rsidP="00356782">
      <w:pPr>
        <w:numPr>
          <w:ilvl w:val="0"/>
          <w:numId w:val="9"/>
        </w:numPr>
        <w:spacing w:after="0"/>
      </w:pPr>
      <w:r>
        <w:t>Sustainable assets are maintained by EMRC; and</w:t>
      </w:r>
    </w:p>
    <w:p w14:paraId="5AACB5F7" w14:textId="7FB71CE4" w:rsidR="00D3305D" w:rsidRDefault="00D3305D" w:rsidP="00356782">
      <w:pPr>
        <w:numPr>
          <w:ilvl w:val="0"/>
          <w:numId w:val="9"/>
        </w:numPr>
        <w:spacing w:after="0"/>
      </w:pPr>
      <w:r>
        <w:t xml:space="preserve">Key stakeholders are appropriately informed. </w:t>
      </w:r>
    </w:p>
    <w:p w14:paraId="577C2EC9" w14:textId="77777777" w:rsidR="00D3305D" w:rsidRDefault="00D3305D" w:rsidP="00D3305D">
      <w:pPr>
        <w:spacing w:after="0"/>
        <w:ind w:left="360"/>
      </w:pPr>
    </w:p>
    <w:p w14:paraId="1BA02657" w14:textId="77777777" w:rsidR="003C246E" w:rsidRDefault="00D3305D" w:rsidP="003C246E">
      <w:r>
        <w:t xml:space="preserve">EMRC utilises an integrated asset management system to manage assets. The system assists EMRC in maintaining asset records, tracking costs, long term planning, modelling and revaluation. </w:t>
      </w:r>
      <w:bookmarkStart w:id="30" w:name="_Toc207186105"/>
    </w:p>
    <w:p w14:paraId="1F1247A7" w14:textId="5C75508D" w:rsidR="00D3305D" w:rsidRPr="003C246E" w:rsidRDefault="00356782" w:rsidP="003C246E">
      <w:pPr>
        <w:pStyle w:val="Heading2"/>
        <w:numPr>
          <w:ilvl w:val="0"/>
          <w:numId w:val="0"/>
        </w:numPr>
        <w:rPr>
          <w:noProof/>
          <w:color w:val="83AD27"/>
        </w:rPr>
      </w:pPr>
      <w:r>
        <w:rPr>
          <w:noProof/>
          <w:color w:val="83AD27"/>
        </w:rPr>
        <w:t>6.1</w:t>
      </w:r>
      <w:r>
        <w:rPr>
          <w:noProof/>
          <w:color w:val="83AD27"/>
        </w:rPr>
        <w:tab/>
      </w:r>
      <w:r w:rsidRPr="00356782">
        <w:rPr>
          <w:noProof/>
          <w:color w:val="83AD27"/>
        </w:rPr>
        <w:t>Asset Acquisition</w:t>
      </w:r>
      <w:bookmarkEnd w:id="30"/>
    </w:p>
    <w:p w14:paraId="63D68E69" w14:textId="77777777" w:rsidR="00356782" w:rsidRPr="001E1EE8" w:rsidRDefault="00356782" w:rsidP="00356782">
      <w:pPr>
        <w:pStyle w:val="RSMArialBody"/>
        <w:spacing w:before="0" w:after="0"/>
        <w:rPr>
          <w:rFonts w:asciiTheme="minorHAnsi" w:hAnsiTheme="minorHAnsi" w:cs="Times New Roman"/>
          <w:color w:val="auto"/>
          <w:spacing w:val="0"/>
          <w:sz w:val="22"/>
          <w:szCs w:val="20"/>
        </w:rPr>
      </w:pPr>
      <w:r w:rsidRPr="001E1EE8">
        <w:rPr>
          <w:rFonts w:asciiTheme="minorHAnsi" w:hAnsiTheme="minorHAnsi" w:cs="Times New Roman"/>
          <w:color w:val="auto"/>
          <w:spacing w:val="0"/>
          <w:sz w:val="22"/>
          <w:szCs w:val="20"/>
        </w:rPr>
        <w:t xml:space="preserve">EMRC classifies asset acquisitions as acquisitions to replace existing assets or acquisitions to create new capacity. </w:t>
      </w:r>
    </w:p>
    <w:p w14:paraId="392237AC" w14:textId="77777777" w:rsidR="00356782" w:rsidRPr="001E1EE8" w:rsidRDefault="00356782" w:rsidP="00356782">
      <w:pPr>
        <w:pStyle w:val="RSMArialBody"/>
        <w:spacing w:before="0" w:after="0"/>
        <w:rPr>
          <w:rFonts w:asciiTheme="minorHAnsi" w:hAnsiTheme="minorHAnsi" w:cs="Times New Roman"/>
          <w:color w:val="auto"/>
          <w:spacing w:val="0"/>
          <w:sz w:val="22"/>
          <w:szCs w:val="20"/>
        </w:rPr>
      </w:pPr>
    </w:p>
    <w:p w14:paraId="70BEA00B" w14:textId="77777777" w:rsidR="00356782" w:rsidRPr="001E1EE8" w:rsidRDefault="00356782" w:rsidP="00356782">
      <w:pPr>
        <w:pStyle w:val="RSMArialBody"/>
        <w:spacing w:before="0" w:after="0"/>
        <w:rPr>
          <w:rFonts w:asciiTheme="minorHAnsi" w:hAnsiTheme="minorHAnsi" w:cs="Times New Roman"/>
          <w:color w:val="auto"/>
          <w:spacing w:val="0"/>
          <w:sz w:val="22"/>
          <w:szCs w:val="20"/>
        </w:rPr>
      </w:pPr>
      <w:r w:rsidRPr="001E1EE8">
        <w:rPr>
          <w:rFonts w:asciiTheme="minorHAnsi" w:hAnsiTheme="minorHAnsi" w:cs="Times New Roman"/>
          <w:color w:val="auto"/>
          <w:spacing w:val="0"/>
          <w:sz w:val="22"/>
          <w:szCs w:val="20"/>
        </w:rPr>
        <w:t xml:space="preserve">Acquisitions to replace existing assets are intended to maintain EMRC’s current service delivery capacity whereas other acquisitions to create new capacity are aimed at enhancing service delivery capacity. Changing expectations for standards and capacity, technology advancement and new demands often contribute towards EMRC’s decisions to create new capacity. </w:t>
      </w:r>
    </w:p>
    <w:p w14:paraId="5C0EA8AD" w14:textId="77777777" w:rsidR="00356782" w:rsidRPr="001E1EE8" w:rsidRDefault="00356782" w:rsidP="00356782">
      <w:pPr>
        <w:pStyle w:val="RSMArialBody"/>
        <w:spacing w:before="0" w:after="0"/>
        <w:rPr>
          <w:rFonts w:asciiTheme="minorHAnsi" w:hAnsiTheme="minorHAnsi" w:cs="Times New Roman"/>
          <w:color w:val="auto"/>
          <w:spacing w:val="0"/>
          <w:sz w:val="22"/>
          <w:szCs w:val="20"/>
        </w:rPr>
      </w:pPr>
    </w:p>
    <w:p w14:paraId="3969D73B" w14:textId="77777777" w:rsidR="00356782" w:rsidRPr="001E1EE8" w:rsidRDefault="00356782" w:rsidP="00356782">
      <w:pPr>
        <w:pStyle w:val="RSMArialBody"/>
        <w:spacing w:before="0" w:after="0"/>
        <w:rPr>
          <w:rFonts w:asciiTheme="minorHAnsi" w:hAnsiTheme="minorHAnsi" w:cs="Times New Roman"/>
          <w:color w:val="auto"/>
          <w:spacing w:val="0"/>
          <w:sz w:val="22"/>
          <w:szCs w:val="20"/>
        </w:rPr>
      </w:pPr>
      <w:r w:rsidRPr="001E1EE8">
        <w:rPr>
          <w:rFonts w:asciiTheme="minorHAnsi" w:hAnsiTheme="minorHAnsi" w:cs="Times New Roman"/>
          <w:color w:val="auto"/>
          <w:spacing w:val="0"/>
          <w:sz w:val="22"/>
          <w:szCs w:val="20"/>
        </w:rPr>
        <w:t xml:space="preserve">All assets are acquired either through direct purchases or custom development. Direct purchases refer to purchases from open market or other agencies whereas custom development often involves capitalisation of costs associated with in-house or outsourced development of an asset. </w:t>
      </w:r>
    </w:p>
    <w:p w14:paraId="2C72B8DE" w14:textId="77777777" w:rsidR="00356782" w:rsidRPr="001E1EE8" w:rsidRDefault="00356782" w:rsidP="00356782">
      <w:pPr>
        <w:pStyle w:val="RSMArialBody"/>
        <w:spacing w:before="0" w:after="0"/>
        <w:rPr>
          <w:rFonts w:asciiTheme="minorHAnsi" w:hAnsiTheme="minorHAnsi" w:cs="Times New Roman"/>
          <w:color w:val="auto"/>
          <w:spacing w:val="0"/>
          <w:sz w:val="22"/>
          <w:szCs w:val="20"/>
        </w:rPr>
      </w:pPr>
    </w:p>
    <w:p w14:paraId="482AEC99" w14:textId="77777777" w:rsidR="00356782" w:rsidRPr="001E1EE8" w:rsidRDefault="00356782" w:rsidP="00356782">
      <w:pPr>
        <w:pStyle w:val="RSMArialBody"/>
        <w:spacing w:before="0" w:after="0"/>
        <w:rPr>
          <w:rFonts w:asciiTheme="minorHAnsi" w:hAnsiTheme="minorHAnsi" w:cs="Times New Roman"/>
          <w:color w:val="auto"/>
          <w:spacing w:val="0"/>
          <w:sz w:val="22"/>
          <w:szCs w:val="20"/>
        </w:rPr>
      </w:pPr>
      <w:r w:rsidRPr="001E1EE8">
        <w:rPr>
          <w:rFonts w:asciiTheme="minorHAnsi" w:hAnsiTheme="minorHAnsi" w:cs="Times New Roman"/>
          <w:color w:val="auto"/>
          <w:spacing w:val="0"/>
          <w:sz w:val="22"/>
          <w:szCs w:val="20"/>
        </w:rPr>
        <w:t>All assets are acquired in accordance with EMRC’s Asset Management Policy.</w:t>
      </w:r>
    </w:p>
    <w:p w14:paraId="31C37C27" w14:textId="77777777" w:rsidR="00356782" w:rsidRPr="001E1EE8" w:rsidRDefault="00356782" w:rsidP="00356782">
      <w:pPr>
        <w:pStyle w:val="RSMArialBody"/>
        <w:spacing w:before="0" w:after="0"/>
        <w:rPr>
          <w:rFonts w:asciiTheme="minorHAnsi" w:hAnsiTheme="minorHAnsi" w:cs="Times New Roman"/>
          <w:color w:val="auto"/>
          <w:spacing w:val="0"/>
          <w:sz w:val="22"/>
          <w:szCs w:val="20"/>
        </w:rPr>
      </w:pPr>
    </w:p>
    <w:p w14:paraId="337EC474" w14:textId="7B3651E8" w:rsidR="00356782" w:rsidRPr="001E1EE8" w:rsidRDefault="00356782" w:rsidP="00356782">
      <w:pPr>
        <w:pStyle w:val="RSMArialBody"/>
        <w:spacing w:before="0" w:after="0"/>
        <w:rPr>
          <w:rFonts w:asciiTheme="minorHAnsi" w:hAnsiTheme="minorHAnsi" w:cs="Times New Roman"/>
          <w:i/>
          <w:color w:val="auto"/>
          <w:spacing w:val="0"/>
          <w:szCs w:val="20"/>
        </w:rPr>
      </w:pPr>
      <w:r w:rsidRPr="001E1EE8">
        <w:rPr>
          <w:rFonts w:asciiTheme="minorHAnsi" w:hAnsiTheme="minorHAnsi" w:cs="Times New Roman"/>
          <w:i/>
          <w:color w:val="auto"/>
          <w:spacing w:val="0"/>
          <w:szCs w:val="20"/>
          <w:u w:val="single"/>
        </w:rPr>
        <w:t>Refer Appendix</w:t>
      </w:r>
      <w:r w:rsidRPr="001E1EE8">
        <w:rPr>
          <w:rFonts w:asciiTheme="minorHAnsi" w:hAnsiTheme="minorHAnsi" w:cs="Times New Roman"/>
          <w:i/>
          <w:color w:val="auto"/>
          <w:spacing w:val="0"/>
          <w:szCs w:val="20"/>
        </w:rPr>
        <w:t>:   10 Year Capital Expenditure Programme (</w:t>
      </w:r>
      <w:r w:rsidR="005F5BB9">
        <w:rPr>
          <w:rFonts w:asciiTheme="minorHAnsi" w:hAnsiTheme="minorHAnsi" w:cs="Times New Roman"/>
          <w:i/>
          <w:color w:val="auto"/>
          <w:spacing w:val="0"/>
          <w:szCs w:val="20"/>
        </w:rPr>
        <w:t>202</w:t>
      </w:r>
      <w:r w:rsidR="00E560DC">
        <w:rPr>
          <w:rFonts w:asciiTheme="minorHAnsi" w:hAnsiTheme="minorHAnsi" w:cs="Times New Roman"/>
          <w:i/>
          <w:color w:val="auto"/>
          <w:spacing w:val="0"/>
          <w:szCs w:val="20"/>
        </w:rPr>
        <w:t>6</w:t>
      </w:r>
      <w:r w:rsidR="005F5BB9">
        <w:rPr>
          <w:rFonts w:asciiTheme="minorHAnsi" w:hAnsiTheme="minorHAnsi" w:cs="Times New Roman"/>
          <w:i/>
          <w:color w:val="auto"/>
          <w:spacing w:val="0"/>
          <w:szCs w:val="20"/>
        </w:rPr>
        <w:t>/202</w:t>
      </w:r>
      <w:r w:rsidR="00E560DC">
        <w:rPr>
          <w:rFonts w:asciiTheme="minorHAnsi" w:hAnsiTheme="minorHAnsi" w:cs="Times New Roman"/>
          <w:i/>
          <w:color w:val="auto"/>
          <w:spacing w:val="0"/>
          <w:szCs w:val="20"/>
        </w:rPr>
        <w:t>7</w:t>
      </w:r>
      <w:r w:rsidR="005F5BB9">
        <w:rPr>
          <w:rFonts w:asciiTheme="minorHAnsi" w:hAnsiTheme="minorHAnsi" w:cs="Times New Roman"/>
          <w:i/>
          <w:color w:val="auto"/>
          <w:spacing w:val="0"/>
          <w:szCs w:val="20"/>
        </w:rPr>
        <w:t xml:space="preserve"> – 203</w:t>
      </w:r>
      <w:r w:rsidR="00E560DC">
        <w:rPr>
          <w:rFonts w:asciiTheme="minorHAnsi" w:hAnsiTheme="minorHAnsi" w:cs="Times New Roman"/>
          <w:i/>
          <w:color w:val="auto"/>
          <w:spacing w:val="0"/>
          <w:szCs w:val="20"/>
        </w:rPr>
        <w:t>5</w:t>
      </w:r>
      <w:r w:rsidR="005F5BB9">
        <w:rPr>
          <w:rFonts w:asciiTheme="minorHAnsi" w:hAnsiTheme="minorHAnsi" w:cs="Times New Roman"/>
          <w:i/>
          <w:color w:val="auto"/>
          <w:spacing w:val="0"/>
          <w:szCs w:val="20"/>
        </w:rPr>
        <w:t>/203</w:t>
      </w:r>
      <w:r w:rsidR="00E560DC">
        <w:rPr>
          <w:rFonts w:asciiTheme="minorHAnsi" w:hAnsiTheme="minorHAnsi" w:cs="Times New Roman"/>
          <w:i/>
          <w:color w:val="auto"/>
          <w:spacing w:val="0"/>
          <w:szCs w:val="20"/>
        </w:rPr>
        <w:t>6</w:t>
      </w:r>
      <w:r w:rsidRPr="001E1EE8">
        <w:rPr>
          <w:rFonts w:asciiTheme="minorHAnsi" w:hAnsiTheme="minorHAnsi" w:cs="Times New Roman"/>
          <w:i/>
          <w:color w:val="auto"/>
          <w:spacing w:val="0"/>
          <w:szCs w:val="20"/>
        </w:rPr>
        <w:t xml:space="preserve">). </w:t>
      </w:r>
    </w:p>
    <w:p w14:paraId="21435947" w14:textId="7D80C793" w:rsidR="00356782" w:rsidRPr="001E1EE8" w:rsidRDefault="00356782" w:rsidP="00356782">
      <w:pPr>
        <w:pStyle w:val="RSMArialBody"/>
        <w:spacing w:before="0" w:after="0"/>
        <w:ind w:firstLine="720"/>
        <w:rPr>
          <w:rFonts w:asciiTheme="minorHAnsi" w:hAnsiTheme="minorHAnsi" w:cs="Times New Roman"/>
          <w:i/>
          <w:color w:val="auto"/>
          <w:spacing w:val="0"/>
          <w:sz w:val="22"/>
          <w:szCs w:val="20"/>
        </w:rPr>
      </w:pPr>
      <w:r w:rsidRPr="001E1EE8">
        <w:rPr>
          <w:rFonts w:asciiTheme="minorHAnsi" w:hAnsiTheme="minorHAnsi" w:cs="Times New Roman"/>
          <w:i/>
          <w:color w:val="auto"/>
          <w:spacing w:val="0"/>
          <w:sz w:val="22"/>
          <w:szCs w:val="20"/>
        </w:rPr>
        <w:t xml:space="preserve">            (</w:t>
      </w:r>
      <w:r w:rsidRPr="001E1EE8">
        <w:rPr>
          <w:rFonts w:asciiTheme="minorHAnsi" w:hAnsiTheme="minorHAnsi" w:cs="Times New Roman"/>
          <w:i/>
          <w:color w:val="auto"/>
          <w:spacing w:val="0"/>
          <w:sz w:val="18"/>
          <w:szCs w:val="18"/>
        </w:rPr>
        <w:t xml:space="preserve">Ref: </w:t>
      </w:r>
      <w:r w:rsidR="00E560DC">
        <w:rPr>
          <w:rFonts w:asciiTheme="minorHAnsi" w:hAnsiTheme="minorHAnsi" w:cs="Times New Roman"/>
          <w:i/>
          <w:color w:val="auto"/>
          <w:spacing w:val="0"/>
          <w:sz w:val="18"/>
          <w:szCs w:val="18"/>
        </w:rPr>
        <w:t>D202</w:t>
      </w:r>
      <w:r w:rsidR="00885374">
        <w:rPr>
          <w:rFonts w:asciiTheme="minorHAnsi" w:hAnsiTheme="minorHAnsi" w:cs="Times New Roman"/>
          <w:i/>
          <w:color w:val="auto"/>
          <w:spacing w:val="0"/>
          <w:sz w:val="18"/>
          <w:szCs w:val="18"/>
        </w:rPr>
        <w:t>6</w:t>
      </w:r>
      <w:r w:rsidR="00E560DC">
        <w:rPr>
          <w:rFonts w:asciiTheme="minorHAnsi" w:hAnsiTheme="minorHAnsi" w:cs="Times New Roman"/>
          <w:i/>
          <w:color w:val="auto"/>
          <w:spacing w:val="0"/>
          <w:sz w:val="18"/>
          <w:szCs w:val="18"/>
        </w:rPr>
        <w:t>/18048</w:t>
      </w:r>
      <w:r w:rsidRPr="001E1EE8">
        <w:rPr>
          <w:rFonts w:asciiTheme="minorHAnsi" w:hAnsiTheme="minorHAnsi" w:cs="Times New Roman"/>
          <w:i/>
          <w:color w:val="auto"/>
          <w:spacing w:val="0"/>
          <w:sz w:val="22"/>
          <w:szCs w:val="20"/>
        </w:rPr>
        <w:t>)</w:t>
      </w:r>
    </w:p>
    <w:p w14:paraId="69A43D48" w14:textId="77777777" w:rsidR="00356782" w:rsidRDefault="00356782" w:rsidP="00356782">
      <w:pPr>
        <w:pStyle w:val="Indent2"/>
        <w:ind w:left="0"/>
        <w:rPr>
          <w:lang w:val="en-US"/>
        </w:rPr>
      </w:pPr>
    </w:p>
    <w:p w14:paraId="2D074B30" w14:textId="3CD063A7" w:rsidR="00356782" w:rsidRPr="00356782" w:rsidRDefault="00356782" w:rsidP="00356782">
      <w:pPr>
        <w:pStyle w:val="Heading2"/>
        <w:numPr>
          <w:ilvl w:val="0"/>
          <w:numId w:val="0"/>
        </w:numPr>
        <w:rPr>
          <w:noProof/>
          <w:color w:val="83AD27"/>
        </w:rPr>
      </w:pPr>
      <w:bookmarkStart w:id="31" w:name="_Toc207186106"/>
      <w:r w:rsidRPr="00356782">
        <w:rPr>
          <w:noProof/>
          <w:color w:val="83AD27"/>
        </w:rPr>
        <w:t xml:space="preserve">6.2 </w:t>
      </w:r>
      <w:r>
        <w:rPr>
          <w:noProof/>
          <w:color w:val="83AD27"/>
        </w:rPr>
        <w:tab/>
      </w:r>
      <w:r w:rsidRPr="00356782">
        <w:rPr>
          <w:noProof/>
          <w:color w:val="83AD27"/>
        </w:rPr>
        <w:t>Operations and Maintenance</w:t>
      </w:r>
      <w:bookmarkEnd w:id="31"/>
    </w:p>
    <w:p w14:paraId="071864A7" w14:textId="779620DC" w:rsidR="00356782" w:rsidRDefault="00356782" w:rsidP="00356782">
      <w:r>
        <w:t xml:space="preserve">Individual business unit identify regular inspection and routine maintenance programs for major assets as part of operational asset management planning. These programs must be included in the approved OAMP and carried out by suitably qualified staff or contractor to ensure that they are in good working condition. </w:t>
      </w:r>
    </w:p>
    <w:p w14:paraId="43181F32" w14:textId="55778637" w:rsidR="00356782" w:rsidRDefault="00356782" w:rsidP="00356782">
      <w:r>
        <w:t xml:space="preserve">All staff must take due care when operating EMRC’s assets for official purposes. EMRC will ensure that all major assets are adequately insured against unfavourable events. </w:t>
      </w:r>
    </w:p>
    <w:p w14:paraId="715FE054" w14:textId="2AC2DACF" w:rsidR="00356782" w:rsidRDefault="00356782" w:rsidP="00356782">
      <w:r>
        <w:lastRenderedPageBreak/>
        <w:t xml:space="preserve">EMRC will conduct asset verification (i.e. asset count) on a date as determined by the Manager Financial Services to confirm the existence of assets included in the Asset Register. </w:t>
      </w:r>
    </w:p>
    <w:p w14:paraId="0BE8B948" w14:textId="77777777" w:rsidR="003C246E" w:rsidRPr="00356782" w:rsidRDefault="003C246E" w:rsidP="00356782"/>
    <w:p w14:paraId="682DC221" w14:textId="52ED2E00" w:rsidR="00356782" w:rsidRPr="00356782" w:rsidRDefault="00356782" w:rsidP="00356782">
      <w:pPr>
        <w:pStyle w:val="Heading2"/>
        <w:numPr>
          <w:ilvl w:val="0"/>
          <w:numId w:val="0"/>
        </w:numPr>
        <w:rPr>
          <w:noProof/>
          <w:color w:val="83AD27"/>
        </w:rPr>
      </w:pPr>
      <w:bookmarkStart w:id="32" w:name="_Toc207186107"/>
      <w:r w:rsidRPr="00356782">
        <w:rPr>
          <w:noProof/>
          <w:color w:val="83AD27"/>
        </w:rPr>
        <w:t>6.3</w:t>
      </w:r>
      <w:r>
        <w:rPr>
          <w:noProof/>
          <w:color w:val="83AD27"/>
        </w:rPr>
        <w:tab/>
      </w:r>
      <w:r w:rsidRPr="00356782">
        <w:rPr>
          <w:noProof/>
          <w:color w:val="83AD27"/>
        </w:rPr>
        <w:t xml:space="preserve"> Disposal and Destruction</w:t>
      </w:r>
      <w:bookmarkEnd w:id="32"/>
    </w:p>
    <w:p w14:paraId="09A20490" w14:textId="4813E1F5" w:rsidR="00356782" w:rsidRDefault="00356782" w:rsidP="00356782">
      <w:r>
        <w:t xml:space="preserve">Individual business units identify major asset disposal or destruction as part of operational asset management planning. All major asset disposal or destruction must be included in the OAMP. </w:t>
      </w:r>
    </w:p>
    <w:p w14:paraId="371B3D01" w14:textId="6C1A2B01" w:rsidR="00356782" w:rsidRDefault="00356782" w:rsidP="00356782">
      <w:r>
        <w:t xml:space="preserve">EMRC currently has a </w:t>
      </w:r>
      <w:r w:rsidR="003E440B">
        <w:t>10-year</w:t>
      </w:r>
      <w:r>
        <w:t xml:space="preserve"> replacement program for plant, equipment and motor vehicles based on number of years used, kilometres travelled or hours used. Assets with expired useful lives are replaced at the earliest opportunity to minimise maintenance costs. </w:t>
      </w:r>
    </w:p>
    <w:p w14:paraId="288D6E90" w14:textId="66C7812B" w:rsidR="00356782" w:rsidRDefault="00356782" w:rsidP="00356782">
      <w:r>
        <w:t xml:space="preserve">All other minor obsolete assets are identified during annual asset verification process and disposed accordingly. </w:t>
      </w:r>
    </w:p>
    <w:p w14:paraId="0BA53736" w14:textId="77777777" w:rsidR="0071553A" w:rsidRDefault="0071553A" w:rsidP="00356782"/>
    <w:p w14:paraId="42329997" w14:textId="6706EA40" w:rsidR="00356782" w:rsidRPr="00356782" w:rsidRDefault="00356782" w:rsidP="00356782">
      <w:pPr>
        <w:rPr>
          <w:rFonts w:asciiTheme="majorHAnsi" w:eastAsiaTheme="majorEastAsia" w:hAnsiTheme="majorHAnsi" w:cstheme="majorBidi"/>
          <w:b/>
          <w:noProof/>
          <w:color w:val="83AD27"/>
          <w:sz w:val="24"/>
          <w:szCs w:val="26"/>
          <w:lang w:val="en-US"/>
        </w:rPr>
      </w:pPr>
      <w:r w:rsidRPr="00356782">
        <w:rPr>
          <w:rFonts w:asciiTheme="majorHAnsi" w:eastAsiaTheme="majorEastAsia" w:hAnsiTheme="majorHAnsi" w:cstheme="majorBidi"/>
          <w:b/>
          <w:noProof/>
          <w:color w:val="83AD27"/>
          <w:sz w:val="24"/>
          <w:szCs w:val="26"/>
          <w:lang w:val="en-US"/>
        </w:rPr>
        <w:t xml:space="preserve">6.4 </w:t>
      </w:r>
      <w:r>
        <w:rPr>
          <w:rFonts w:asciiTheme="majorHAnsi" w:eastAsiaTheme="majorEastAsia" w:hAnsiTheme="majorHAnsi" w:cstheme="majorBidi"/>
          <w:b/>
          <w:noProof/>
          <w:color w:val="83AD27"/>
          <w:sz w:val="24"/>
          <w:szCs w:val="26"/>
          <w:lang w:val="en-US"/>
        </w:rPr>
        <w:tab/>
      </w:r>
      <w:r w:rsidRPr="00356782">
        <w:rPr>
          <w:rFonts w:asciiTheme="majorHAnsi" w:eastAsiaTheme="majorEastAsia" w:hAnsiTheme="majorHAnsi" w:cstheme="majorBidi"/>
          <w:b/>
          <w:noProof/>
          <w:color w:val="83AD27"/>
          <w:sz w:val="24"/>
          <w:szCs w:val="26"/>
          <w:lang w:val="en-US"/>
        </w:rPr>
        <w:t>Post Life Cycle Analysis</w:t>
      </w:r>
    </w:p>
    <w:p w14:paraId="5E54F232" w14:textId="77777777" w:rsidR="00356782" w:rsidRDefault="00356782" w:rsidP="00356782">
      <w:pPr>
        <w:spacing w:before="60" w:after="60"/>
        <w:contextualSpacing/>
      </w:pPr>
      <w:r>
        <w:t xml:space="preserve">EMRC undertakes post life cycle analysis for all major assets to evaluate usage patterns, actual useful lives, actual costs and benefits associated with the assets. The analysis is aimed at identifying improvement opportunities and additional requirements for acquisition or development of future assets. </w:t>
      </w:r>
    </w:p>
    <w:p w14:paraId="562D380A" w14:textId="77777777" w:rsidR="00D3305D" w:rsidRDefault="00D3305D" w:rsidP="00D3305D">
      <w:pPr>
        <w:pStyle w:val="Indent1"/>
        <w:ind w:left="0"/>
        <w:rPr>
          <w:lang w:val="en-US"/>
        </w:rPr>
      </w:pPr>
    </w:p>
    <w:p w14:paraId="20618456" w14:textId="77777777" w:rsidR="003C246E" w:rsidRDefault="003C246E" w:rsidP="00D3305D">
      <w:pPr>
        <w:pStyle w:val="Indent1"/>
        <w:ind w:left="0"/>
        <w:rPr>
          <w:lang w:val="en-US"/>
        </w:rPr>
      </w:pPr>
    </w:p>
    <w:p w14:paraId="546797E7" w14:textId="77777777" w:rsidR="003C246E" w:rsidRDefault="003C246E" w:rsidP="00D3305D">
      <w:pPr>
        <w:pStyle w:val="Indent1"/>
        <w:ind w:left="0"/>
        <w:rPr>
          <w:lang w:val="en-US"/>
        </w:rPr>
      </w:pPr>
    </w:p>
    <w:p w14:paraId="71893B23" w14:textId="77777777" w:rsidR="003C246E" w:rsidRDefault="003C246E" w:rsidP="00D3305D">
      <w:pPr>
        <w:pStyle w:val="Indent1"/>
        <w:ind w:left="0"/>
        <w:rPr>
          <w:lang w:val="en-US"/>
        </w:rPr>
      </w:pPr>
    </w:p>
    <w:p w14:paraId="1BB57733" w14:textId="77777777" w:rsidR="003C246E" w:rsidRDefault="003C246E" w:rsidP="00D3305D">
      <w:pPr>
        <w:pStyle w:val="Indent1"/>
        <w:ind w:left="0"/>
        <w:rPr>
          <w:lang w:val="en-US"/>
        </w:rPr>
      </w:pPr>
    </w:p>
    <w:p w14:paraId="7AA275DA" w14:textId="77777777" w:rsidR="003C246E" w:rsidRDefault="003C246E" w:rsidP="00D3305D">
      <w:pPr>
        <w:pStyle w:val="Indent1"/>
        <w:ind w:left="0"/>
        <w:rPr>
          <w:lang w:val="en-US"/>
        </w:rPr>
      </w:pPr>
    </w:p>
    <w:p w14:paraId="43582104" w14:textId="77777777" w:rsidR="003C246E" w:rsidRDefault="003C246E" w:rsidP="00D3305D">
      <w:pPr>
        <w:pStyle w:val="Indent1"/>
        <w:ind w:left="0"/>
        <w:rPr>
          <w:lang w:val="en-US"/>
        </w:rPr>
      </w:pPr>
    </w:p>
    <w:p w14:paraId="7E455749" w14:textId="77777777" w:rsidR="003C246E" w:rsidRDefault="003C246E" w:rsidP="00D3305D">
      <w:pPr>
        <w:pStyle w:val="Indent1"/>
        <w:ind w:left="0"/>
        <w:rPr>
          <w:lang w:val="en-US"/>
        </w:rPr>
      </w:pPr>
    </w:p>
    <w:p w14:paraId="3D248107" w14:textId="77777777" w:rsidR="003C246E" w:rsidRDefault="003C246E" w:rsidP="00D3305D">
      <w:pPr>
        <w:pStyle w:val="Indent1"/>
        <w:ind w:left="0"/>
        <w:rPr>
          <w:lang w:val="en-US"/>
        </w:rPr>
      </w:pPr>
    </w:p>
    <w:p w14:paraId="347169EB" w14:textId="77777777" w:rsidR="003C246E" w:rsidRDefault="003C246E" w:rsidP="00D3305D">
      <w:pPr>
        <w:pStyle w:val="Indent1"/>
        <w:ind w:left="0"/>
        <w:rPr>
          <w:lang w:val="en-US"/>
        </w:rPr>
      </w:pPr>
    </w:p>
    <w:p w14:paraId="5D006305" w14:textId="77777777" w:rsidR="003C246E" w:rsidRDefault="003C246E" w:rsidP="00D3305D">
      <w:pPr>
        <w:pStyle w:val="Indent1"/>
        <w:ind w:left="0"/>
        <w:rPr>
          <w:lang w:val="en-US"/>
        </w:rPr>
      </w:pPr>
    </w:p>
    <w:p w14:paraId="21C0B138" w14:textId="77777777" w:rsidR="003C246E" w:rsidRDefault="003C246E" w:rsidP="00D3305D">
      <w:pPr>
        <w:pStyle w:val="Indent1"/>
        <w:ind w:left="0"/>
        <w:rPr>
          <w:lang w:val="en-US"/>
        </w:rPr>
      </w:pPr>
    </w:p>
    <w:p w14:paraId="68177CDA" w14:textId="77777777" w:rsidR="003C246E" w:rsidRDefault="003C246E" w:rsidP="00D3305D">
      <w:pPr>
        <w:pStyle w:val="Indent1"/>
        <w:ind w:left="0"/>
        <w:rPr>
          <w:lang w:val="en-US"/>
        </w:rPr>
      </w:pPr>
    </w:p>
    <w:p w14:paraId="5426375A" w14:textId="77777777" w:rsidR="003C246E" w:rsidRDefault="003C246E" w:rsidP="00D3305D">
      <w:pPr>
        <w:pStyle w:val="Indent1"/>
        <w:ind w:left="0"/>
        <w:rPr>
          <w:lang w:val="en-US"/>
        </w:rPr>
      </w:pPr>
    </w:p>
    <w:p w14:paraId="1905B2C3" w14:textId="77777777" w:rsidR="003C246E" w:rsidRDefault="003C246E" w:rsidP="00D3305D">
      <w:pPr>
        <w:pStyle w:val="Indent1"/>
        <w:ind w:left="0"/>
        <w:rPr>
          <w:lang w:val="en-US"/>
        </w:rPr>
      </w:pPr>
    </w:p>
    <w:p w14:paraId="0AFFBF1C" w14:textId="77777777" w:rsidR="00BF0434" w:rsidRPr="00D3305D" w:rsidRDefault="00BF0434" w:rsidP="00D3305D">
      <w:pPr>
        <w:pStyle w:val="Indent1"/>
        <w:ind w:left="0"/>
        <w:rPr>
          <w:lang w:val="en-US"/>
        </w:rPr>
      </w:pPr>
    </w:p>
    <w:p w14:paraId="61E8815D" w14:textId="33147F05" w:rsidR="00356782" w:rsidRDefault="00356782" w:rsidP="00356782">
      <w:pPr>
        <w:pStyle w:val="CM100"/>
        <w:spacing w:after="0"/>
        <w:rPr>
          <w:rFonts w:ascii="Arial" w:hAnsi="Arial"/>
          <w:b/>
          <w:bCs/>
          <w:lang w:eastAsia="en-US"/>
        </w:rPr>
      </w:pPr>
      <w:r>
        <w:rPr>
          <w:rFonts w:ascii="Arial" w:hAnsi="Arial"/>
          <w:b/>
          <w:bCs/>
          <w:noProof/>
        </w:rPr>
        <w:lastRenderedPageBreak/>
        <w:drawing>
          <wp:anchor distT="0" distB="0" distL="114300" distR="114300" simplePos="0" relativeHeight="251673600" behindDoc="0" locked="0" layoutInCell="1" allowOverlap="1" wp14:anchorId="3459BF34" wp14:editId="7209064E">
            <wp:simplePos x="0" y="0"/>
            <wp:positionH relativeFrom="column">
              <wp:posOffset>0</wp:posOffset>
            </wp:positionH>
            <wp:positionV relativeFrom="paragraph">
              <wp:posOffset>0</wp:posOffset>
            </wp:positionV>
            <wp:extent cx="4860925" cy="6379210"/>
            <wp:effectExtent l="19050" t="0" r="0" b="0"/>
            <wp:wrapNone/>
            <wp:docPr id="1" name="Picture 7" descr="Riv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iver "/>
                    <pic:cNvPicPr>
                      <a:picLocks noChangeAspect="1" noChangeArrowheads="1"/>
                    </pic:cNvPicPr>
                  </pic:nvPicPr>
                  <pic:blipFill>
                    <a:blip r:embed="rId23" cstate="print"/>
                    <a:srcRect l="30180" r="4504" b="6514"/>
                    <a:stretch>
                      <a:fillRect/>
                    </a:stretch>
                  </pic:blipFill>
                  <pic:spPr bwMode="auto">
                    <a:xfrm>
                      <a:off x="0" y="0"/>
                      <a:ext cx="4860925" cy="6379210"/>
                    </a:xfrm>
                    <a:prstGeom prst="rect">
                      <a:avLst/>
                    </a:prstGeom>
                    <a:noFill/>
                  </pic:spPr>
                </pic:pic>
              </a:graphicData>
            </a:graphic>
          </wp:anchor>
        </w:drawing>
      </w:r>
    </w:p>
    <w:p w14:paraId="37E4073B" w14:textId="77777777" w:rsidR="00356782" w:rsidRDefault="00356782" w:rsidP="00356782">
      <w:pPr>
        <w:pStyle w:val="CM100"/>
        <w:spacing w:after="0"/>
        <w:rPr>
          <w:rFonts w:ascii="Arial" w:hAnsi="Arial"/>
          <w:b/>
          <w:bCs/>
          <w:lang w:eastAsia="en-US"/>
        </w:rPr>
      </w:pPr>
    </w:p>
    <w:p w14:paraId="1E5EFC02" w14:textId="77777777" w:rsidR="00356782" w:rsidRDefault="00356782" w:rsidP="00356782">
      <w:pPr>
        <w:pStyle w:val="CM100"/>
        <w:spacing w:after="0"/>
        <w:rPr>
          <w:rFonts w:ascii="Arial" w:hAnsi="Arial"/>
          <w:b/>
          <w:bCs/>
          <w:lang w:eastAsia="en-US"/>
        </w:rPr>
      </w:pPr>
    </w:p>
    <w:p w14:paraId="5DAEE78C" w14:textId="77777777" w:rsidR="00356782" w:rsidRDefault="00356782" w:rsidP="00356782">
      <w:pPr>
        <w:pStyle w:val="CM100"/>
        <w:spacing w:after="0"/>
        <w:rPr>
          <w:rFonts w:ascii="Arial" w:hAnsi="Arial"/>
          <w:b/>
          <w:bCs/>
          <w:lang w:eastAsia="en-US"/>
        </w:rPr>
      </w:pPr>
    </w:p>
    <w:p w14:paraId="055D5578" w14:textId="77777777" w:rsidR="00356782" w:rsidRDefault="00356782" w:rsidP="00356782">
      <w:pPr>
        <w:pStyle w:val="CM100"/>
        <w:spacing w:after="0"/>
        <w:rPr>
          <w:rFonts w:ascii="Arial" w:hAnsi="Arial"/>
          <w:b/>
          <w:bCs/>
          <w:lang w:eastAsia="en-US"/>
        </w:rPr>
      </w:pPr>
    </w:p>
    <w:p w14:paraId="0B4EFEB1" w14:textId="77777777" w:rsidR="00356782" w:rsidRDefault="00356782" w:rsidP="00356782">
      <w:pPr>
        <w:pStyle w:val="CM100"/>
        <w:spacing w:after="0"/>
        <w:rPr>
          <w:rFonts w:ascii="Arial" w:hAnsi="Arial"/>
          <w:b/>
          <w:bCs/>
          <w:lang w:eastAsia="en-US"/>
        </w:rPr>
      </w:pPr>
    </w:p>
    <w:p w14:paraId="7DA2BB86" w14:textId="77777777" w:rsidR="00356782" w:rsidRDefault="00356782" w:rsidP="00356782">
      <w:pPr>
        <w:pStyle w:val="CM100"/>
        <w:spacing w:after="0"/>
        <w:rPr>
          <w:rFonts w:ascii="Arial" w:hAnsi="Arial"/>
          <w:b/>
          <w:bCs/>
          <w:lang w:eastAsia="en-US"/>
        </w:rPr>
      </w:pPr>
    </w:p>
    <w:p w14:paraId="2D664232" w14:textId="77777777" w:rsidR="00356782" w:rsidRDefault="00356782" w:rsidP="00356782">
      <w:pPr>
        <w:pStyle w:val="CM100"/>
        <w:spacing w:after="0"/>
        <w:rPr>
          <w:rFonts w:ascii="Arial" w:hAnsi="Arial"/>
          <w:b/>
          <w:bCs/>
          <w:lang w:eastAsia="en-US"/>
        </w:rPr>
      </w:pPr>
    </w:p>
    <w:p w14:paraId="54829034" w14:textId="77777777" w:rsidR="00356782" w:rsidRDefault="00356782" w:rsidP="00356782">
      <w:pPr>
        <w:pStyle w:val="CM100"/>
        <w:spacing w:after="0"/>
        <w:rPr>
          <w:rFonts w:ascii="Arial" w:hAnsi="Arial"/>
          <w:b/>
          <w:bCs/>
          <w:lang w:eastAsia="en-US"/>
        </w:rPr>
      </w:pPr>
    </w:p>
    <w:p w14:paraId="32C4C53C" w14:textId="77777777" w:rsidR="00356782" w:rsidRDefault="00356782" w:rsidP="00356782">
      <w:pPr>
        <w:pStyle w:val="CM100"/>
        <w:spacing w:after="0"/>
        <w:rPr>
          <w:rFonts w:ascii="Arial" w:hAnsi="Arial"/>
          <w:b/>
          <w:bCs/>
          <w:lang w:eastAsia="en-US"/>
        </w:rPr>
      </w:pPr>
    </w:p>
    <w:p w14:paraId="49814E55" w14:textId="77777777" w:rsidR="00356782" w:rsidRDefault="00356782" w:rsidP="00356782">
      <w:pPr>
        <w:pStyle w:val="CM100"/>
        <w:spacing w:after="0"/>
        <w:rPr>
          <w:rFonts w:ascii="Arial" w:hAnsi="Arial"/>
          <w:b/>
          <w:bCs/>
          <w:lang w:eastAsia="en-US"/>
        </w:rPr>
      </w:pPr>
    </w:p>
    <w:p w14:paraId="1D6710F1" w14:textId="77777777" w:rsidR="00356782" w:rsidRDefault="00356782" w:rsidP="00356782">
      <w:pPr>
        <w:pStyle w:val="CM100"/>
        <w:spacing w:after="0"/>
        <w:rPr>
          <w:rFonts w:ascii="Arial" w:hAnsi="Arial"/>
          <w:b/>
          <w:bCs/>
          <w:lang w:eastAsia="en-US"/>
        </w:rPr>
      </w:pPr>
    </w:p>
    <w:p w14:paraId="5B2BDCF1" w14:textId="77777777" w:rsidR="00356782" w:rsidRDefault="00356782" w:rsidP="00356782">
      <w:pPr>
        <w:pStyle w:val="CM100"/>
        <w:spacing w:after="0"/>
        <w:rPr>
          <w:rFonts w:ascii="Arial" w:hAnsi="Arial"/>
          <w:b/>
          <w:bCs/>
          <w:lang w:eastAsia="en-US"/>
        </w:rPr>
      </w:pPr>
    </w:p>
    <w:p w14:paraId="5F498868" w14:textId="77777777" w:rsidR="00356782" w:rsidRDefault="00356782" w:rsidP="00356782">
      <w:pPr>
        <w:pStyle w:val="CM100"/>
        <w:spacing w:after="0"/>
        <w:rPr>
          <w:rFonts w:ascii="Arial" w:hAnsi="Arial"/>
          <w:b/>
          <w:bCs/>
          <w:lang w:eastAsia="en-US"/>
        </w:rPr>
      </w:pPr>
    </w:p>
    <w:p w14:paraId="44358576" w14:textId="77777777" w:rsidR="00356782" w:rsidRDefault="00356782" w:rsidP="00356782">
      <w:pPr>
        <w:pStyle w:val="CM100"/>
        <w:spacing w:after="0"/>
        <w:rPr>
          <w:rFonts w:ascii="Arial" w:hAnsi="Arial"/>
          <w:b/>
          <w:bCs/>
          <w:lang w:eastAsia="en-US"/>
        </w:rPr>
      </w:pPr>
    </w:p>
    <w:p w14:paraId="49AB862B" w14:textId="77777777" w:rsidR="00356782" w:rsidRDefault="00356782" w:rsidP="00356782">
      <w:pPr>
        <w:pStyle w:val="CM100"/>
        <w:spacing w:after="0"/>
        <w:rPr>
          <w:rFonts w:ascii="Arial" w:hAnsi="Arial"/>
          <w:b/>
          <w:bCs/>
          <w:lang w:eastAsia="en-US"/>
        </w:rPr>
      </w:pPr>
    </w:p>
    <w:p w14:paraId="408F848B" w14:textId="77777777" w:rsidR="00356782" w:rsidRDefault="00356782" w:rsidP="00356782">
      <w:pPr>
        <w:pStyle w:val="CM100"/>
        <w:spacing w:after="0"/>
        <w:rPr>
          <w:rFonts w:ascii="Arial" w:hAnsi="Arial"/>
          <w:b/>
          <w:bCs/>
          <w:lang w:eastAsia="en-US"/>
        </w:rPr>
      </w:pPr>
    </w:p>
    <w:p w14:paraId="1421F363" w14:textId="77777777" w:rsidR="00356782" w:rsidRDefault="00356782" w:rsidP="00356782">
      <w:pPr>
        <w:pStyle w:val="CM100"/>
        <w:spacing w:after="0"/>
        <w:rPr>
          <w:rFonts w:ascii="Arial" w:hAnsi="Arial"/>
          <w:b/>
          <w:bCs/>
          <w:lang w:eastAsia="en-US"/>
        </w:rPr>
      </w:pPr>
    </w:p>
    <w:p w14:paraId="38213E1A" w14:textId="77777777" w:rsidR="00356782" w:rsidRDefault="00356782" w:rsidP="00356782">
      <w:pPr>
        <w:pStyle w:val="CM100"/>
        <w:spacing w:after="0"/>
        <w:rPr>
          <w:rFonts w:ascii="Arial" w:hAnsi="Arial"/>
          <w:b/>
          <w:bCs/>
          <w:lang w:eastAsia="en-US"/>
        </w:rPr>
      </w:pPr>
    </w:p>
    <w:p w14:paraId="48A972BF" w14:textId="77777777" w:rsidR="00356782" w:rsidRDefault="00356782" w:rsidP="00356782">
      <w:pPr>
        <w:pStyle w:val="CM100"/>
        <w:spacing w:after="0"/>
        <w:rPr>
          <w:rFonts w:ascii="Arial" w:hAnsi="Arial"/>
          <w:b/>
          <w:bCs/>
          <w:lang w:eastAsia="en-US"/>
        </w:rPr>
      </w:pPr>
    </w:p>
    <w:p w14:paraId="567BEC4B" w14:textId="77777777" w:rsidR="00356782" w:rsidRDefault="00356782" w:rsidP="00356782">
      <w:pPr>
        <w:pStyle w:val="CM100"/>
        <w:spacing w:after="0"/>
        <w:rPr>
          <w:rFonts w:ascii="Arial" w:hAnsi="Arial"/>
          <w:b/>
          <w:bCs/>
          <w:lang w:eastAsia="en-US"/>
        </w:rPr>
      </w:pPr>
    </w:p>
    <w:p w14:paraId="7DB490D1" w14:textId="77777777" w:rsidR="00356782" w:rsidRDefault="00356782" w:rsidP="00356782">
      <w:pPr>
        <w:pStyle w:val="CM100"/>
        <w:spacing w:after="0"/>
        <w:rPr>
          <w:rFonts w:ascii="Arial" w:hAnsi="Arial"/>
          <w:b/>
          <w:bCs/>
          <w:lang w:eastAsia="en-US"/>
        </w:rPr>
      </w:pPr>
    </w:p>
    <w:p w14:paraId="7FEB180B" w14:textId="77777777" w:rsidR="00356782" w:rsidRDefault="00356782" w:rsidP="00356782">
      <w:pPr>
        <w:pStyle w:val="CM100"/>
        <w:spacing w:after="0"/>
        <w:rPr>
          <w:rFonts w:ascii="Arial" w:hAnsi="Arial"/>
          <w:b/>
          <w:bCs/>
          <w:lang w:eastAsia="en-US"/>
        </w:rPr>
      </w:pPr>
    </w:p>
    <w:p w14:paraId="01256136" w14:textId="77777777" w:rsidR="00356782" w:rsidRDefault="00356782" w:rsidP="00356782">
      <w:pPr>
        <w:pStyle w:val="CM100"/>
        <w:spacing w:after="0"/>
        <w:rPr>
          <w:rFonts w:ascii="Arial" w:hAnsi="Arial"/>
          <w:b/>
          <w:bCs/>
          <w:lang w:eastAsia="en-US"/>
        </w:rPr>
      </w:pPr>
    </w:p>
    <w:p w14:paraId="65885476" w14:textId="77777777" w:rsidR="00356782" w:rsidRDefault="00356782" w:rsidP="00356782">
      <w:pPr>
        <w:pStyle w:val="CM100"/>
        <w:spacing w:after="0"/>
        <w:rPr>
          <w:rFonts w:ascii="Arial" w:hAnsi="Arial"/>
          <w:b/>
          <w:bCs/>
          <w:lang w:eastAsia="en-US"/>
        </w:rPr>
      </w:pPr>
    </w:p>
    <w:p w14:paraId="07875D04" w14:textId="77777777" w:rsidR="00356782" w:rsidRDefault="00356782" w:rsidP="00356782">
      <w:pPr>
        <w:pStyle w:val="CM100"/>
        <w:spacing w:after="0"/>
        <w:rPr>
          <w:rFonts w:ascii="Arial" w:hAnsi="Arial"/>
          <w:b/>
          <w:bCs/>
          <w:lang w:eastAsia="en-US"/>
        </w:rPr>
      </w:pPr>
    </w:p>
    <w:p w14:paraId="228930CB" w14:textId="77777777" w:rsidR="00356782" w:rsidRDefault="00356782" w:rsidP="00356782">
      <w:pPr>
        <w:pStyle w:val="CM100"/>
        <w:spacing w:after="0"/>
        <w:rPr>
          <w:rFonts w:ascii="Arial" w:hAnsi="Arial"/>
          <w:b/>
          <w:bCs/>
          <w:lang w:eastAsia="en-US"/>
        </w:rPr>
      </w:pPr>
    </w:p>
    <w:p w14:paraId="1857BA2C" w14:textId="77777777" w:rsidR="00356782" w:rsidRDefault="00356782" w:rsidP="00356782">
      <w:pPr>
        <w:pStyle w:val="CM100"/>
        <w:spacing w:after="0"/>
        <w:rPr>
          <w:rFonts w:ascii="Arial" w:hAnsi="Arial"/>
          <w:b/>
          <w:bCs/>
          <w:lang w:eastAsia="en-US"/>
        </w:rPr>
      </w:pPr>
    </w:p>
    <w:p w14:paraId="7797F0F7" w14:textId="77777777" w:rsidR="00356782" w:rsidRDefault="00356782" w:rsidP="00356782">
      <w:pPr>
        <w:pStyle w:val="CM100"/>
        <w:spacing w:after="0"/>
        <w:rPr>
          <w:rFonts w:ascii="Arial" w:hAnsi="Arial"/>
          <w:b/>
          <w:bCs/>
          <w:lang w:eastAsia="en-US"/>
        </w:rPr>
      </w:pPr>
    </w:p>
    <w:p w14:paraId="08DC4582" w14:textId="77777777" w:rsidR="00356782" w:rsidRDefault="00356782" w:rsidP="00356782">
      <w:pPr>
        <w:pStyle w:val="CM100"/>
        <w:spacing w:after="0"/>
        <w:rPr>
          <w:rFonts w:ascii="Arial" w:hAnsi="Arial"/>
          <w:b/>
          <w:bCs/>
          <w:lang w:eastAsia="en-US"/>
        </w:rPr>
      </w:pPr>
    </w:p>
    <w:p w14:paraId="4DB4B55C" w14:textId="77777777" w:rsidR="00356782" w:rsidRDefault="00356782" w:rsidP="00356782">
      <w:pPr>
        <w:pStyle w:val="CM100"/>
        <w:spacing w:after="0"/>
        <w:rPr>
          <w:rFonts w:ascii="Arial" w:hAnsi="Arial"/>
          <w:b/>
          <w:bCs/>
          <w:lang w:eastAsia="en-US"/>
        </w:rPr>
      </w:pPr>
    </w:p>
    <w:p w14:paraId="622DF0D8" w14:textId="77777777" w:rsidR="00356782" w:rsidRDefault="00356782" w:rsidP="00356782">
      <w:pPr>
        <w:pStyle w:val="CM100"/>
        <w:spacing w:after="0"/>
        <w:rPr>
          <w:rFonts w:ascii="Arial" w:hAnsi="Arial"/>
          <w:b/>
          <w:bCs/>
          <w:lang w:eastAsia="en-US"/>
        </w:rPr>
      </w:pPr>
    </w:p>
    <w:p w14:paraId="41AA09C7" w14:textId="77777777" w:rsidR="00356782" w:rsidRDefault="00356782" w:rsidP="00356782">
      <w:pPr>
        <w:pStyle w:val="CM100"/>
        <w:spacing w:after="0"/>
        <w:rPr>
          <w:rFonts w:ascii="Arial" w:hAnsi="Arial"/>
          <w:b/>
          <w:bCs/>
          <w:lang w:eastAsia="en-US"/>
        </w:rPr>
      </w:pPr>
    </w:p>
    <w:p w14:paraId="1A6EF77D" w14:textId="77777777" w:rsidR="00356782" w:rsidRDefault="00356782" w:rsidP="00356782">
      <w:pPr>
        <w:pStyle w:val="CM100"/>
        <w:spacing w:after="0"/>
        <w:rPr>
          <w:rFonts w:ascii="Arial" w:hAnsi="Arial"/>
          <w:b/>
          <w:bCs/>
          <w:lang w:eastAsia="en-US"/>
        </w:rPr>
      </w:pPr>
    </w:p>
    <w:p w14:paraId="1620DE5F" w14:textId="77777777" w:rsidR="00356782" w:rsidRDefault="00356782" w:rsidP="00356782">
      <w:pPr>
        <w:pStyle w:val="CM100"/>
        <w:spacing w:after="0"/>
        <w:rPr>
          <w:rFonts w:ascii="Arial" w:hAnsi="Arial"/>
          <w:b/>
          <w:bCs/>
          <w:lang w:eastAsia="en-US"/>
        </w:rPr>
      </w:pPr>
    </w:p>
    <w:p w14:paraId="3D098FF7" w14:textId="77777777" w:rsidR="00356782" w:rsidRDefault="00356782" w:rsidP="00356782">
      <w:pPr>
        <w:pStyle w:val="CM100"/>
        <w:spacing w:after="0"/>
        <w:rPr>
          <w:rFonts w:ascii="Arial" w:hAnsi="Arial"/>
          <w:b/>
          <w:bCs/>
          <w:lang w:eastAsia="en-US"/>
        </w:rPr>
      </w:pPr>
    </w:p>
    <w:p w14:paraId="0EB7E780" w14:textId="77777777" w:rsidR="00356782" w:rsidRDefault="00356782" w:rsidP="00356782">
      <w:pPr>
        <w:pStyle w:val="CM100"/>
        <w:spacing w:after="0"/>
        <w:rPr>
          <w:rFonts w:ascii="Arial" w:hAnsi="Arial"/>
          <w:b/>
          <w:bCs/>
          <w:lang w:eastAsia="en-US"/>
        </w:rPr>
      </w:pPr>
    </w:p>
    <w:p w14:paraId="3CF08C50" w14:textId="77777777" w:rsidR="00356782" w:rsidRDefault="00356782" w:rsidP="00356782">
      <w:pPr>
        <w:pStyle w:val="CM100"/>
        <w:spacing w:after="0"/>
        <w:rPr>
          <w:rFonts w:ascii="Arial" w:hAnsi="Arial"/>
          <w:b/>
          <w:bCs/>
          <w:lang w:eastAsia="en-US"/>
        </w:rPr>
      </w:pPr>
    </w:p>
    <w:p w14:paraId="21D593B4" w14:textId="73439CB8" w:rsidR="00356782" w:rsidRDefault="00356782" w:rsidP="00356782">
      <w:pPr>
        <w:pStyle w:val="CM100"/>
        <w:spacing w:after="0"/>
        <w:rPr>
          <w:rFonts w:ascii="Arial" w:hAnsi="Arial"/>
          <w:b/>
          <w:bCs/>
          <w:lang w:eastAsia="en-US"/>
        </w:rPr>
      </w:pPr>
      <w:r>
        <w:rPr>
          <w:rFonts w:ascii="Arial" w:hAnsi="Arial"/>
          <w:b/>
          <w:bCs/>
          <w:lang w:eastAsia="en-US"/>
        </w:rPr>
        <w:t>For further information please contact:</w:t>
      </w:r>
    </w:p>
    <w:p w14:paraId="4CFF1FC2" w14:textId="77777777" w:rsidR="00356782" w:rsidRPr="00356782" w:rsidRDefault="00356782" w:rsidP="00356782"/>
    <w:p w14:paraId="5AC77D08" w14:textId="77777777" w:rsidR="00356782" w:rsidRDefault="00356782" w:rsidP="00356782">
      <w:r>
        <w:t>The Eastern Metropolitan Regional Council</w:t>
      </w:r>
    </w:p>
    <w:p w14:paraId="483FD2D8" w14:textId="22881CD9" w:rsidR="00356782" w:rsidRDefault="00356782" w:rsidP="00356782">
      <w:r>
        <w:t>226 Great Eastern Highway, Belmont WA 6104</w:t>
      </w:r>
    </w:p>
    <w:p w14:paraId="53888D52" w14:textId="3CFF9CEB" w:rsidR="00356782" w:rsidRDefault="00356782" w:rsidP="00356782">
      <w:r>
        <w:t xml:space="preserve">Phone: </w:t>
      </w:r>
      <w:r w:rsidR="008B4F91">
        <w:t xml:space="preserve">08 </w:t>
      </w:r>
      <w:r>
        <w:t>9424 2222</w:t>
      </w:r>
    </w:p>
    <w:bookmarkEnd w:id="14"/>
    <w:bookmarkEnd w:id="15"/>
    <w:p w14:paraId="26D33DEB" w14:textId="64F4B182" w:rsidR="00356782" w:rsidRDefault="00356782">
      <w:pPr>
        <w:spacing w:after="200" w:line="276" w:lineRule="auto"/>
        <w:jc w:val="left"/>
        <w:rPr>
          <w:rFonts w:cs="Arial"/>
        </w:rPr>
      </w:pPr>
    </w:p>
    <w:sectPr w:rsidR="00356782" w:rsidSect="00CC28AA">
      <w:headerReference w:type="default" r:id="rId24"/>
      <w:footerReference w:type="default" r:id="rId25"/>
      <w:footerReference w:type="first" r:id="rId26"/>
      <w:pgSz w:w="11906" w:h="16838" w:code="9"/>
      <w:pgMar w:top="2126" w:right="851" w:bottom="1134" w:left="1332" w:header="425" w:footer="425"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E9003" w14:textId="77777777" w:rsidR="00BF4937" w:rsidRDefault="00BF4937" w:rsidP="00615BBA">
      <w:r>
        <w:separator/>
      </w:r>
    </w:p>
  </w:endnote>
  <w:endnote w:type="continuationSeparator" w:id="0">
    <w:p w14:paraId="1DE09C6D" w14:textId="77777777" w:rsidR="00BF4937" w:rsidRDefault="00BF4937" w:rsidP="00615B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Interstate-Light">
    <w:altName w:val="Times New Roman"/>
    <w:panose1 w:val="00000000000000000000"/>
    <w:charset w:val="00"/>
    <w:family w:val="auto"/>
    <w:notTrueType/>
    <w:pitch w:val="variable"/>
    <w:sig w:usb0="00000003" w:usb1="00000000" w:usb2="00000000" w:usb3="00000000" w:csb0="00000001" w:csb1="00000000"/>
  </w:font>
  <w:font w:name="Helvetica 45 Light">
    <w:altName w:val="Arial"/>
    <w:panose1 w:val="00000000000000000000"/>
    <w:charset w:val="00"/>
    <w:family w:val="swiss"/>
    <w:notTrueType/>
    <w:pitch w:val="default"/>
    <w:sig w:usb0="00000003" w:usb1="00000000" w:usb2="00000000" w:usb3="00000000" w:csb0="00000001" w:csb1="00000000"/>
  </w:font>
  <w:font w:name="Univers 55">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66250" w14:textId="77777777" w:rsidR="00460BB8" w:rsidRDefault="00460B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D8EB4" w14:textId="77777777" w:rsidR="00460BB8" w:rsidRDefault="00460B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DACF2" w14:textId="77777777" w:rsidR="00AE77AE" w:rsidRDefault="00AE77AE">
    <w:pPr>
      <w:pStyle w:val="Footer"/>
    </w:pPr>
    <w:r>
      <w:rPr>
        <w:noProof/>
      </w:rPr>
      <mc:AlternateContent>
        <mc:Choice Requires="wps">
          <w:drawing>
            <wp:anchor distT="45720" distB="45720" distL="114300" distR="114300" simplePos="0" relativeHeight="251666944" behindDoc="0" locked="0" layoutInCell="1" allowOverlap="1" wp14:anchorId="6B0580FE" wp14:editId="4D327CD8">
              <wp:simplePos x="0" y="0"/>
              <wp:positionH relativeFrom="page">
                <wp:align>center</wp:align>
              </wp:positionH>
              <wp:positionV relativeFrom="paragraph">
                <wp:posOffset>-136525</wp:posOffset>
              </wp:positionV>
              <wp:extent cx="3761105" cy="301625"/>
              <wp:effectExtent l="0" t="0" r="0" b="3175"/>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1105" cy="301625"/>
                      </a:xfrm>
                      <a:prstGeom prst="rect">
                        <a:avLst/>
                      </a:prstGeom>
                      <a:noFill/>
                      <a:ln w="9525">
                        <a:noFill/>
                        <a:miter lim="800000"/>
                        <a:headEnd/>
                        <a:tailEnd/>
                      </a:ln>
                    </wps:spPr>
                    <wps:txbx>
                      <w:txbxContent>
                        <w:p w14:paraId="39B85396" w14:textId="77777777" w:rsidR="00AE77AE" w:rsidRPr="00AE77AE" w:rsidRDefault="00AE77AE" w:rsidP="00AE77AE">
                          <w:pPr>
                            <w:pStyle w:val="ListShiresFooter"/>
                            <w:rPr>
                              <w:b/>
                            </w:rPr>
                          </w:pPr>
                          <w:r w:rsidRPr="00AE77AE">
                            <w:t>Bassendean | Bayswater | Belmont | Kalamunda | Mundaring | Swan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0580FE" id="_x0000_t202" coordsize="21600,21600" o:spt="202" path="m,l,21600r21600,l21600,xe">
              <v:stroke joinstyle="miter"/>
              <v:path gradientshapeok="t" o:connecttype="rect"/>
            </v:shapetype>
            <v:shape id="Text Box 4" o:spid="_x0000_s1050" type="#_x0000_t202" style="position:absolute;left:0;text-align:left;margin-left:0;margin-top:-10.75pt;width:296.15pt;height:23.75pt;z-index:251666944;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" filled="f" stroked="f">
              <v:textbox>
                <w:txbxContent>
                  <w:p w14:paraId="39B85396" w14:textId="77777777" w:rsidR="00AE77AE" w:rsidRPr="00AE77AE" w:rsidRDefault="00AE77AE" w:rsidP="00AE77AE">
                    <w:pPr>
                      <w:pStyle w:val="ListShiresFooter"/>
                      <w:rPr>
                        <w:b/>
                      </w:rPr>
                    </w:pPr>
                    <w:r w:rsidRPr="00AE77AE">
                      <w:t>Bassendean | Bayswater | Belmont | Kalamunda | Mundaring | Swan</w:t>
                    </w:r>
                  </w:p>
                </w:txbxContent>
              </v:textbox>
              <w10:wrap type="square" anchorx="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252EA" w14:textId="77777777" w:rsidR="00CC28AA" w:rsidRPr="00CC28AA" w:rsidRDefault="00CC28AA" w:rsidP="00982C85">
    <w:pPr>
      <w:pStyle w:val="Footer"/>
      <w:pBdr>
        <w:top w:val="none" w:sz="0" w:space="0" w:color="auto"/>
      </w:pBdr>
    </w:pPr>
    <w:r w:rsidRPr="003878C6">
      <w:fldChar w:fldCharType="begin"/>
    </w:r>
    <w:r w:rsidRPr="003878C6">
      <w:instrText xml:space="preserve"> PAGE   \* MERGEFORMAT </w:instrText>
    </w:r>
    <w:r w:rsidRPr="003878C6">
      <w:fldChar w:fldCharType="separate"/>
    </w:r>
    <w:r>
      <w:t>3</w:t>
    </w:r>
    <w:r w:rsidRPr="003878C6">
      <w:fldChar w:fldCharType="end"/>
    </w:r>
    <w:r w:rsidRPr="003878C6">
      <w:t xml:space="preserve"> |</w:t>
    </w:r>
    <w:r>
      <w:t xml:space="preserve"> </w:t>
    </w:r>
    <w:r w:rsidRPr="003878C6">
      <w:rPr>
        <w:spacing w:val="60"/>
      </w:rPr>
      <w:t>Pag</w:t>
    </w:r>
    <w:r>
      <w:t>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8E91F" w14:textId="77777777" w:rsidR="00CC28AA" w:rsidRDefault="00CC28AA">
    <w:pPr>
      <w:pStyle w:val="Footer"/>
    </w:pPr>
    <w:r>
      <w:rPr>
        <w:noProof/>
      </w:rPr>
      <mc:AlternateContent>
        <mc:Choice Requires="wps">
          <w:drawing>
            <wp:anchor distT="45720" distB="45720" distL="114300" distR="114300" simplePos="0" relativeHeight="251668992" behindDoc="0" locked="0" layoutInCell="1" allowOverlap="1" wp14:anchorId="33C3B2C0" wp14:editId="75AD3DD3">
              <wp:simplePos x="0" y="0"/>
              <wp:positionH relativeFrom="page">
                <wp:align>center</wp:align>
              </wp:positionH>
              <wp:positionV relativeFrom="paragraph">
                <wp:posOffset>-136525</wp:posOffset>
              </wp:positionV>
              <wp:extent cx="3761105" cy="301625"/>
              <wp:effectExtent l="0" t="0" r="0" b="3175"/>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1105" cy="301625"/>
                      </a:xfrm>
                      <a:prstGeom prst="rect">
                        <a:avLst/>
                      </a:prstGeom>
                      <a:noFill/>
                      <a:ln w="9525">
                        <a:noFill/>
                        <a:miter lim="800000"/>
                        <a:headEnd/>
                        <a:tailEnd/>
                      </a:ln>
                    </wps:spPr>
                    <wps:txbx>
                      <w:txbxContent>
                        <w:p w14:paraId="090B41B1" w14:textId="77777777" w:rsidR="00CC28AA" w:rsidRPr="00AE77AE" w:rsidRDefault="00CC28AA" w:rsidP="00AE77AE">
                          <w:pPr>
                            <w:pStyle w:val="ListShiresFooter"/>
                            <w:rPr>
                              <w:b/>
                            </w:rPr>
                          </w:pPr>
                          <w:r w:rsidRPr="00AE77AE">
                            <w:t>Bassendean | Bayswater | Belmont | Kalamunda | Mundaring | Swan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C3B2C0" id="_x0000_t202" coordsize="21600,21600" o:spt="202" path="m,l,21600r21600,l21600,xe">
              <v:stroke joinstyle="miter"/>
              <v:path gradientshapeok="t" o:connecttype="rect"/>
            </v:shapetype>
            <v:shape id="Text Box 9" o:spid="_x0000_s1051" type="#_x0000_t202" style="position:absolute;left:0;text-align:left;margin-left:0;margin-top:-10.75pt;width:296.15pt;height:23.75pt;z-index:251668992;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" filled="f" stroked="f">
              <v:textbox>
                <w:txbxContent>
                  <w:p w14:paraId="090B41B1" w14:textId="77777777" w:rsidR="00CC28AA" w:rsidRPr="00AE77AE" w:rsidRDefault="00CC28AA" w:rsidP="00AE77AE">
                    <w:pPr>
                      <w:pStyle w:val="ListShiresFooter"/>
                      <w:rPr>
                        <w:b/>
                      </w:rPr>
                    </w:pPr>
                    <w:r w:rsidRPr="00AE77AE">
                      <w:t>Bassendean | Bayswater | Belmont | Kalamunda | Mundaring | Swan</w:t>
                    </w:r>
                  </w:p>
                </w:txbxContent>
              </v:textbox>
              <w10:wrap type="square" anchorx="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43579" w14:textId="5B874946" w:rsidR="00CC28AA" w:rsidRPr="00CF748C" w:rsidRDefault="00CF748C" w:rsidP="00982C85">
    <w:pPr>
      <w:pStyle w:val="Footer"/>
      <w:pBdr>
        <w:top w:val="none" w:sz="0" w:space="0" w:color="auto"/>
      </w:pBdr>
      <w:jc w:val="left"/>
    </w:pPr>
    <w:r>
      <w:t>ASSET MANAGEMENT PLAN</w:t>
    </w:r>
    <w:r>
      <w:tab/>
      <w:t xml:space="preserve">Ref </w:t>
    </w:r>
    <w:r w:rsidR="00460BB8">
      <w:t>D2026/20110</w:t>
    </w:r>
    <w:r>
      <w:tab/>
    </w:r>
    <w:r w:rsidRPr="003878C6">
      <w:fldChar w:fldCharType="begin"/>
    </w:r>
    <w:r w:rsidRPr="003878C6">
      <w:instrText xml:space="preserve"> PAGE   \* MERGEFORMAT </w:instrText>
    </w:r>
    <w:r w:rsidRPr="003878C6">
      <w:fldChar w:fldCharType="separate"/>
    </w:r>
    <w:r>
      <w:t>1</w:t>
    </w:r>
    <w:r w:rsidRPr="003878C6">
      <w:fldChar w:fldCharType="end"/>
    </w:r>
    <w:r w:rsidRPr="003878C6">
      <w:t xml:space="preserve"> |</w:t>
    </w:r>
    <w:r>
      <w:t xml:space="preserve"> </w:t>
    </w:r>
    <w:r w:rsidRPr="003878C6">
      <w:rPr>
        <w:spacing w:val="60"/>
      </w:rPr>
      <w:t>Pag</w:t>
    </w:r>
    <w:r>
      <w:t>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1BCE6" w14:textId="77777777" w:rsidR="00CC28AA" w:rsidRDefault="00CC28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74F14" w14:textId="77777777" w:rsidR="00BF4937" w:rsidRDefault="00BF4937" w:rsidP="00615BBA">
      <w:r>
        <w:separator/>
      </w:r>
    </w:p>
  </w:footnote>
  <w:footnote w:type="continuationSeparator" w:id="0">
    <w:p w14:paraId="5E4636C8" w14:textId="77777777" w:rsidR="00BF4937" w:rsidRDefault="00BF4937" w:rsidP="00615B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7B3A7" w14:textId="77777777" w:rsidR="00460BB8" w:rsidRDefault="00460B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41A3B" w14:textId="77777777" w:rsidR="00D154F5" w:rsidRDefault="002055BD" w:rsidP="00BC779E">
    <w:pPr>
      <w:pStyle w:val="Header"/>
    </w:pPr>
    <w:r>
      <w:rPr>
        <w:noProof/>
      </w:rPr>
      <w:drawing>
        <wp:anchor distT="0" distB="0" distL="114300" distR="114300" simplePos="0" relativeHeight="251676160" behindDoc="1" locked="0" layoutInCell="1" allowOverlap="1" wp14:anchorId="30912B2E" wp14:editId="4C32438D">
          <wp:simplePos x="0" y="0"/>
          <wp:positionH relativeFrom="column">
            <wp:posOffset>-845820</wp:posOffset>
          </wp:positionH>
          <wp:positionV relativeFrom="paragraph">
            <wp:posOffset>-269876</wp:posOffset>
          </wp:positionV>
          <wp:extent cx="7559457" cy="10693021"/>
          <wp:effectExtent l="0" t="0" r="0" b="635"/>
          <wp:wrapNone/>
          <wp:docPr id="977790088" name="Picture 1" descr="A colorful corner with white and blue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790088" name="Picture 1" descr="A colorful corner with white and blue lines&#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7581545" cy="1072426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139E4" w14:textId="77777777" w:rsidR="003878C6" w:rsidRDefault="003878C6" w:rsidP="00BC779E">
    <w:pPr>
      <w:pStyle w:val="Header"/>
    </w:pPr>
    <w:r>
      <w:rPr>
        <w:noProof/>
      </w:rPr>
      <w:drawing>
        <wp:anchor distT="0" distB="0" distL="114300" distR="114300" simplePos="0" relativeHeight="251664896" behindDoc="1" locked="0" layoutInCell="1" allowOverlap="1" wp14:anchorId="3F5648C5" wp14:editId="6C329185">
          <wp:simplePos x="0" y="0"/>
          <wp:positionH relativeFrom="page">
            <wp:posOffset>0</wp:posOffset>
          </wp:positionH>
          <wp:positionV relativeFrom="page">
            <wp:posOffset>-28575</wp:posOffset>
          </wp:positionV>
          <wp:extent cx="2085975" cy="10710545"/>
          <wp:effectExtent l="0" t="0" r="9525" b="0"/>
          <wp:wrapNone/>
          <wp:docPr id="8" name="Picture 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8275-EMRC Letterhead Template-4.png"/>
                  <pic:cNvPicPr/>
                </pic:nvPicPr>
                <pic:blipFill rotWithShape="1">
                  <a:blip r:embed="rId1"/>
                  <a:srcRect t="-267" r="72407" b="-1"/>
                  <a:stretch/>
                </pic:blipFill>
                <pic:spPr bwMode="auto">
                  <a:xfrm>
                    <a:off x="0" y="0"/>
                    <a:ext cx="2086100" cy="107111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D0821" w14:textId="77777777" w:rsidR="00CC28AA" w:rsidRDefault="002055BD" w:rsidP="00BC779E">
    <w:pPr>
      <w:pStyle w:val="Header"/>
    </w:pPr>
    <w:r>
      <w:rPr>
        <w:noProof/>
      </w:rPr>
      <w:drawing>
        <wp:anchor distT="0" distB="0" distL="114300" distR="114300" simplePos="0" relativeHeight="251677184" behindDoc="1" locked="0" layoutInCell="1" allowOverlap="1" wp14:anchorId="24EC4BF4" wp14:editId="182A8F2F">
          <wp:simplePos x="0" y="0"/>
          <wp:positionH relativeFrom="column">
            <wp:posOffset>-845820</wp:posOffset>
          </wp:positionH>
          <wp:positionV relativeFrom="paragraph">
            <wp:posOffset>-275590</wp:posOffset>
          </wp:positionV>
          <wp:extent cx="7560945" cy="10695126"/>
          <wp:effectExtent l="0" t="0" r="0" b="0"/>
          <wp:wrapNone/>
          <wp:docPr id="355117054" name="Picture 2"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117054" name="Picture 2" descr="A white background with black dot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6251" cy="10702631"/>
                  </a:xfrm>
                  <a:prstGeom prst="rect">
                    <a:avLst/>
                  </a:prstGeom>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4E4ED" w14:textId="02F7F3AF" w:rsidR="00CC28AA" w:rsidRPr="002055BD" w:rsidRDefault="00BF0434" w:rsidP="002055BD">
    <w:pPr>
      <w:pStyle w:val="Header"/>
    </w:pPr>
    <w:r>
      <w:rPr>
        <w:noProof/>
      </w:rPr>
      <w:drawing>
        <wp:anchor distT="0" distB="0" distL="114300" distR="114300" simplePos="0" relativeHeight="251679232" behindDoc="1" locked="0" layoutInCell="1" allowOverlap="1" wp14:anchorId="7D4C3E16" wp14:editId="17E475CD">
          <wp:simplePos x="0" y="0"/>
          <wp:positionH relativeFrom="column">
            <wp:posOffset>-869950</wp:posOffset>
          </wp:positionH>
          <wp:positionV relativeFrom="paragraph">
            <wp:posOffset>-267335</wp:posOffset>
          </wp:positionV>
          <wp:extent cx="7560945" cy="10695126"/>
          <wp:effectExtent l="0" t="0" r="0" b="0"/>
          <wp:wrapNone/>
          <wp:docPr id="2056792514" name="Picture 2"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117054" name="Picture 2" descr="A white background with black dot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945" cy="1069512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C05B4"/>
    <w:multiLevelType w:val="hybridMultilevel"/>
    <w:tmpl w:val="DB1658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9255E2"/>
    <w:multiLevelType w:val="hybridMultilevel"/>
    <w:tmpl w:val="16EE1B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CD60D37"/>
    <w:multiLevelType w:val="multilevel"/>
    <w:tmpl w:val="9976BBE8"/>
    <w:numStyleLink w:val="Bullets"/>
  </w:abstractNum>
  <w:abstractNum w:abstractNumId="3" w15:restartNumberingAfterBreak="0">
    <w:nsid w:val="113A07FC"/>
    <w:multiLevelType w:val="multilevel"/>
    <w:tmpl w:val="B53EAB24"/>
    <w:styleLink w:val="TableNumberedParagraphs"/>
    <w:lvl w:ilvl="0">
      <w:start w:val="1"/>
      <w:numFmt w:val="decimal"/>
      <w:lvlText w:val="%1"/>
      <w:lvlJc w:val="left"/>
      <w:pPr>
        <w:ind w:left="369" w:hanging="369"/>
      </w:pPr>
      <w:rPr>
        <w:rFonts w:hint="default"/>
      </w:rPr>
    </w:lvl>
    <w:lvl w:ilvl="1">
      <w:start w:val="1"/>
      <w:numFmt w:val="decimal"/>
      <w:lvlText w:val="%1.%2"/>
      <w:lvlJc w:val="left"/>
      <w:pPr>
        <w:ind w:left="369" w:hanging="369"/>
      </w:pPr>
      <w:rPr>
        <w:rFonts w:hint="default"/>
      </w:rPr>
    </w:lvl>
    <w:lvl w:ilvl="2">
      <w:start w:val="1"/>
      <w:numFmt w:val="decimal"/>
      <w:lvlText w:val="%1.%2.%3"/>
      <w:lvlJc w:val="left"/>
      <w:pPr>
        <w:ind w:left="369" w:hanging="369"/>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B1F08BE"/>
    <w:multiLevelType w:val="hybridMultilevel"/>
    <w:tmpl w:val="103AE0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D8F7E94"/>
    <w:multiLevelType w:val="hybridMultilevel"/>
    <w:tmpl w:val="9CBEB1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0C52859"/>
    <w:multiLevelType w:val="hybridMultilevel"/>
    <w:tmpl w:val="2D7AFD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8F24F3D"/>
    <w:multiLevelType w:val="hybridMultilevel"/>
    <w:tmpl w:val="448E7DAA"/>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8" w15:restartNumberingAfterBreak="0">
    <w:nsid w:val="42046147"/>
    <w:multiLevelType w:val="hybridMultilevel"/>
    <w:tmpl w:val="6E204B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4181BBF"/>
    <w:multiLevelType w:val="hybridMultilevel"/>
    <w:tmpl w:val="2B3A97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7DB6C6D"/>
    <w:multiLevelType w:val="multilevel"/>
    <w:tmpl w:val="A3742738"/>
    <w:styleLink w:val="Indent1Bullets"/>
    <w:lvl w:ilvl="0">
      <w:start w:val="1"/>
      <w:numFmt w:val="bullet"/>
      <w:pStyle w:val="Indent1Bullet1"/>
      <w:lvlText w:val=""/>
      <w:lvlJc w:val="left"/>
      <w:pPr>
        <w:ind w:left="936" w:hanging="369"/>
      </w:pPr>
      <w:rPr>
        <w:rFonts w:ascii="Wingdings" w:hAnsi="Wingdings" w:hint="default"/>
        <w:color w:val="313253" w:themeColor="accent5"/>
      </w:rPr>
    </w:lvl>
    <w:lvl w:ilvl="1">
      <w:start w:val="1"/>
      <w:numFmt w:val="bullet"/>
      <w:pStyle w:val="Indent1Bullet2"/>
      <w:lvlText w:val=""/>
      <w:lvlJc w:val="left"/>
      <w:pPr>
        <w:ind w:left="1304" w:hanging="368"/>
      </w:pPr>
      <w:rPr>
        <w:rFonts w:ascii="Wingdings" w:hAnsi="Wingdings" w:hint="default"/>
        <w:color w:val="C1A408" w:themeColor="accent4"/>
      </w:rPr>
    </w:lvl>
    <w:lvl w:ilvl="2">
      <w:start w:val="1"/>
      <w:numFmt w:val="bullet"/>
      <w:pStyle w:val="Indent1Bullet3"/>
      <w:lvlText w:val=""/>
      <w:lvlJc w:val="left"/>
      <w:pPr>
        <w:ind w:left="1673" w:hanging="369"/>
      </w:pPr>
      <w:rPr>
        <w:rFonts w:ascii="Wingdings" w:hAnsi="Wingdings" w:hint="default"/>
        <w:color w:val="6B6C6D" w:themeColor="accent3"/>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027265A"/>
    <w:multiLevelType w:val="multilevel"/>
    <w:tmpl w:val="9976BBE8"/>
    <w:styleLink w:val="Bullets"/>
    <w:lvl w:ilvl="0">
      <w:start w:val="1"/>
      <w:numFmt w:val="bullet"/>
      <w:pStyle w:val="EMRCBulletText1"/>
      <w:lvlText w:val=""/>
      <w:lvlJc w:val="left"/>
      <w:pPr>
        <w:ind w:left="369" w:hanging="369"/>
      </w:pPr>
      <w:rPr>
        <w:rFonts w:ascii="Wingdings" w:hAnsi="Wingdings" w:hint="default"/>
        <w:color w:val="313253" w:themeColor="accent5"/>
      </w:rPr>
    </w:lvl>
    <w:lvl w:ilvl="1">
      <w:start w:val="1"/>
      <w:numFmt w:val="bullet"/>
      <w:pStyle w:val="EMRCBulletText2"/>
      <w:lvlText w:val=""/>
      <w:lvlJc w:val="left"/>
      <w:pPr>
        <w:ind w:left="737" w:hanging="368"/>
      </w:pPr>
      <w:rPr>
        <w:rFonts w:ascii="Wingdings" w:hAnsi="Wingdings" w:hint="default"/>
        <w:color w:val="C1A408" w:themeColor="accent4"/>
      </w:rPr>
    </w:lvl>
    <w:lvl w:ilvl="2">
      <w:start w:val="1"/>
      <w:numFmt w:val="bullet"/>
      <w:pStyle w:val="EMRCBulletText3"/>
      <w:lvlText w:val=""/>
      <w:lvlJc w:val="left"/>
      <w:pPr>
        <w:ind w:left="1106" w:hanging="369"/>
      </w:pPr>
      <w:rPr>
        <w:rFonts w:ascii="Wingdings" w:hAnsi="Wingdings" w:hint="default"/>
        <w:color w:val="6B6C6D" w:themeColor="accent3"/>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ED13DBC"/>
    <w:multiLevelType w:val="hybridMultilevel"/>
    <w:tmpl w:val="07127CD6"/>
    <w:lvl w:ilvl="0" w:tplc="A3C2EE52">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3C11FDF"/>
    <w:multiLevelType w:val="hybridMultilevel"/>
    <w:tmpl w:val="AF2E150A"/>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14" w15:restartNumberingAfterBreak="0">
    <w:nsid w:val="6863692F"/>
    <w:multiLevelType w:val="hybridMultilevel"/>
    <w:tmpl w:val="EDDCC5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F9739FF"/>
    <w:multiLevelType w:val="hybridMultilevel"/>
    <w:tmpl w:val="602618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FA558B0"/>
    <w:multiLevelType w:val="multilevel"/>
    <w:tmpl w:val="270C7736"/>
    <w:numStyleLink w:val="HeadingNumbers"/>
  </w:abstractNum>
  <w:abstractNum w:abstractNumId="17" w15:restartNumberingAfterBreak="0">
    <w:nsid w:val="70C914B6"/>
    <w:multiLevelType w:val="hybridMultilevel"/>
    <w:tmpl w:val="6C3840C6"/>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18" w15:restartNumberingAfterBreak="0">
    <w:nsid w:val="728D5E8F"/>
    <w:multiLevelType w:val="multilevel"/>
    <w:tmpl w:val="A3742738"/>
    <w:numStyleLink w:val="Indent1Bullets"/>
  </w:abstractNum>
  <w:abstractNum w:abstractNumId="19" w15:restartNumberingAfterBreak="0">
    <w:nsid w:val="74EE1209"/>
    <w:multiLevelType w:val="multilevel"/>
    <w:tmpl w:val="270C7736"/>
    <w:styleLink w:val="HeadingNumbers"/>
    <w:lvl w:ilvl="0">
      <w:start w:val="1"/>
      <w:numFmt w:val="decimal"/>
      <w:pStyle w:val="Heading1"/>
      <w:lvlText w:val="%1"/>
      <w:lvlJc w:val="left"/>
      <w:pPr>
        <w:ind w:left="567" w:hanging="567"/>
      </w:pPr>
      <w:rPr>
        <w:rFonts w:hint="default"/>
      </w:rPr>
    </w:lvl>
    <w:lvl w:ilvl="1">
      <w:start w:val="1"/>
      <w:numFmt w:val="decimal"/>
      <w:pStyle w:val="Heading2"/>
      <w:lvlText w:val="%1.%2"/>
      <w:lvlJc w:val="left"/>
      <w:pPr>
        <w:ind w:left="1418" w:hanging="851"/>
      </w:pPr>
      <w:rPr>
        <w:rFonts w:hint="default"/>
      </w:rPr>
    </w:lvl>
    <w:lvl w:ilvl="2">
      <w:start w:val="1"/>
      <w:numFmt w:val="decimal"/>
      <w:pStyle w:val="Heading3"/>
      <w:lvlText w:val="%1.%2.%3"/>
      <w:lvlJc w:val="left"/>
      <w:pPr>
        <w:ind w:left="1418" w:hanging="851"/>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0" w15:restartNumberingAfterBreak="0">
    <w:nsid w:val="75DC4D5E"/>
    <w:multiLevelType w:val="hybridMultilevel"/>
    <w:tmpl w:val="A4F6F4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9642149">
    <w:abstractNumId w:val="19"/>
  </w:num>
  <w:num w:numId="2" w16cid:durableId="113915411">
    <w:abstractNumId w:val="11"/>
  </w:num>
  <w:num w:numId="3" w16cid:durableId="1478836849">
    <w:abstractNumId w:val="16"/>
  </w:num>
  <w:num w:numId="4" w16cid:durableId="1880900899">
    <w:abstractNumId w:val="10"/>
  </w:num>
  <w:num w:numId="5" w16cid:durableId="1034692529">
    <w:abstractNumId w:val="18"/>
  </w:num>
  <w:num w:numId="6" w16cid:durableId="2007704947">
    <w:abstractNumId w:val="3"/>
  </w:num>
  <w:num w:numId="7" w16cid:durableId="1760828710">
    <w:abstractNumId w:val="2"/>
  </w:num>
  <w:num w:numId="8" w16cid:durableId="15342691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5383428">
    <w:abstractNumId w:val="12"/>
  </w:num>
  <w:num w:numId="10" w16cid:durableId="3941551">
    <w:abstractNumId w:val="6"/>
  </w:num>
  <w:num w:numId="11" w16cid:durableId="510143771">
    <w:abstractNumId w:val="13"/>
  </w:num>
  <w:num w:numId="12" w16cid:durableId="84083072">
    <w:abstractNumId w:val="5"/>
  </w:num>
  <w:num w:numId="13" w16cid:durableId="1097213509">
    <w:abstractNumId w:val="4"/>
  </w:num>
  <w:num w:numId="14" w16cid:durableId="1809398823">
    <w:abstractNumId w:val="17"/>
  </w:num>
  <w:num w:numId="15" w16cid:durableId="2141070485">
    <w:abstractNumId w:val="20"/>
  </w:num>
  <w:num w:numId="16" w16cid:durableId="43915384">
    <w:abstractNumId w:val="9"/>
  </w:num>
  <w:num w:numId="17" w16cid:durableId="415904412">
    <w:abstractNumId w:val="14"/>
  </w:num>
  <w:num w:numId="18" w16cid:durableId="2078504988">
    <w:abstractNumId w:val="16"/>
    <w:lvlOverride w:ilvl="0">
      <w:startOverride w:val="4"/>
    </w:lvlOverride>
    <w:lvlOverride w:ilvl="1">
      <w:startOverride w:val="3"/>
    </w:lvlOverride>
  </w:num>
  <w:num w:numId="19" w16cid:durableId="1126629601">
    <w:abstractNumId w:val="1"/>
  </w:num>
  <w:num w:numId="20" w16cid:durableId="463426980">
    <w:abstractNumId w:val="7"/>
  </w:num>
  <w:num w:numId="21" w16cid:durableId="272564790">
    <w:abstractNumId w:val="15"/>
  </w:num>
  <w:num w:numId="22" w16cid:durableId="1932002825">
    <w:abstractNumId w:val="0"/>
  </w:num>
  <w:num w:numId="23" w16cid:durableId="1817068036">
    <w:abstractNumId w:val="8"/>
  </w:num>
  <w:num w:numId="24" w16cid:durableId="1628706171">
    <w:abstractNumId w:val="1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1A5"/>
    <w:rsid w:val="00000DD8"/>
    <w:rsid w:val="000026E1"/>
    <w:rsid w:val="0002576D"/>
    <w:rsid w:val="000437E8"/>
    <w:rsid w:val="00050B3E"/>
    <w:rsid w:val="00081280"/>
    <w:rsid w:val="00083283"/>
    <w:rsid w:val="00097E92"/>
    <w:rsid w:val="000A7A49"/>
    <w:rsid w:val="000C2072"/>
    <w:rsid w:val="000C6BEB"/>
    <w:rsid w:val="000D4C65"/>
    <w:rsid w:val="000D4D34"/>
    <w:rsid w:val="000E7539"/>
    <w:rsid w:val="000E7A2D"/>
    <w:rsid w:val="00104C49"/>
    <w:rsid w:val="00116356"/>
    <w:rsid w:val="001327A2"/>
    <w:rsid w:val="001438B6"/>
    <w:rsid w:val="00184472"/>
    <w:rsid w:val="00193C52"/>
    <w:rsid w:val="001951AA"/>
    <w:rsid w:val="001B2A05"/>
    <w:rsid w:val="001B577A"/>
    <w:rsid w:val="001B622F"/>
    <w:rsid w:val="001D6D6D"/>
    <w:rsid w:val="001E1B73"/>
    <w:rsid w:val="001E1EE8"/>
    <w:rsid w:val="001F6BAF"/>
    <w:rsid w:val="002055BD"/>
    <w:rsid w:val="00210107"/>
    <w:rsid w:val="002223CE"/>
    <w:rsid w:val="002353CB"/>
    <w:rsid w:val="00242305"/>
    <w:rsid w:val="002443CB"/>
    <w:rsid w:val="002500DE"/>
    <w:rsid w:val="002614A1"/>
    <w:rsid w:val="002A5B1F"/>
    <w:rsid w:val="002C5268"/>
    <w:rsid w:val="002D6C21"/>
    <w:rsid w:val="002E5AEC"/>
    <w:rsid w:val="00302F7F"/>
    <w:rsid w:val="0030464E"/>
    <w:rsid w:val="00311F4E"/>
    <w:rsid w:val="00326745"/>
    <w:rsid w:val="00337C4A"/>
    <w:rsid w:val="00347A2D"/>
    <w:rsid w:val="00355BC7"/>
    <w:rsid w:val="00356782"/>
    <w:rsid w:val="00373D37"/>
    <w:rsid w:val="003844DA"/>
    <w:rsid w:val="003878C6"/>
    <w:rsid w:val="003A2D5C"/>
    <w:rsid w:val="003B7311"/>
    <w:rsid w:val="003C246E"/>
    <w:rsid w:val="003D64F5"/>
    <w:rsid w:val="003D7303"/>
    <w:rsid w:val="003E440B"/>
    <w:rsid w:val="003E6433"/>
    <w:rsid w:val="003E6897"/>
    <w:rsid w:val="003F0EFB"/>
    <w:rsid w:val="003F5882"/>
    <w:rsid w:val="00413B57"/>
    <w:rsid w:val="00422F86"/>
    <w:rsid w:val="00427F6F"/>
    <w:rsid w:val="00435425"/>
    <w:rsid w:val="004458E3"/>
    <w:rsid w:val="00460BB8"/>
    <w:rsid w:val="004628DC"/>
    <w:rsid w:val="00474E9D"/>
    <w:rsid w:val="004750C8"/>
    <w:rsid w:val="00484CF1"/>
    <w:rsid w:val="004B7D5D"/>
    <w:rsid w:val="004C145A"/>
    <w:rsid w:val="004F2FCB"/>
    <w:rsid w:val="00502F62"/>
    <w:rsid w:val="00540EA2"/>
    <w:rsid w:val="0057149B"/>
    <w:rsid w:val="00585140"/>
    <w:rsid w:val="005A110D"/>
    <w:rsid w:val="005B0963"/>
    <w:rsid w:val="005C1A91"/>
    <w:rsid w:val="005C1E37"/>
    <w:rsid w:val="005D2132"/>
    <w:rsid w:val="005F0493"/>
    <w:rsid w:val="005F5BB9"/>
    <w:rsid w:val="005F7470"/>
    <w:rsid w:val="00610591"/>
    <w:rsid w:val="00615BBA"/>
    <w:rsid w:val="006303A7"/>
    <w:rsid w:val="00635F24"/>
    <w:rsid w:val="00654504"/>
    <w:rsid w:val="00682DF8"/>
    <w:rsid w:val="00694937"/>
    <w:rsid w:val="006A0D14"/>
    <w:rsid w:val="006A32E9"/>
    <w:rsid w:val="006B27F2"/>
    <w:rsid w:val="006B75CD"/>
    <w:rsid w:val="006C4699"/>
    <w:rsid w:val="006D44D7"/>
    <w:rsid w:val="006E3B78"/>
    <w:rsid w:val="006F4ADE"/>
    <w:rsid w:val="006F51A5"/>
    <w:rsid w:val="0071553A"/>
    <w:rsid w:val="007204AF"/>
    <w:rsid w:val="00736AB4"/>
    <w:rsid w:val="00747C99"/>
    <w:rsid w:val="00780E3E"/>
    <w:rsid w:val="00784BF5"/>
    <w:rsid w:val="007917B3"/>
    <w:rsid w:val="007A491F"/>
    <w:rsid w:val="007A7E61"/>
    <w:rsid w:val="007B32B9"/>
    <w:rsid w:val="007B6004"/>
    <w:rsid w:val="007C354E"/>
    <w:rsid w:val="007C4DEE"/>
    <w:rsid w:val="007C620E"/>
    <w:rsid w:val="007D3111"/>
    <w:rsid w:val="00814DB0"/>
    <w:rsid w:val="00815FC9"/>
    <w:rsid w:val="00821326"/>
    <w:rsid w:val="00846C9F"/>
    <w:rsid w:val="00872F3D"/>
    <w:rsid w:val="00885374"/>
    <w:rsid w:val="008A3706"/>
    <w:rsid w:val="008A45FB"/>
    <w:rsid w:val="008B2CE8"/>
    <w:rsid w:val="008B4DC4"/>
    <w:rsid w:val="008B4F91"/>
    <w:rsid w:val="008B7CD6"/>
    <w:rsid w:val="008F40AB"/>
    <w:rsid w:val="009161E0"/>
    <w:rsid w:val="00935655"/>
    <w:rsid w:val="00961CBC"/>
    <w:rsid w:val="00973E17"/>
    <w:rsid w:val="00982C85"/>
    <w:rsid w:val="009837AE"/>
    <w:rsid w:val="009A404E"/>
    <w:rsid w:val="009B2378"/>
    <w:rsid w:val="009C34B6"/>
    <w:rsid w:val="009F4571"/>
    <w:rsid w:val="00A07CC2"/>
    <w:rsid w:val="00A125DD"/>
    <w:rsid w:val="00A16305"/>
    <w:rsid w:val="00A17097"/>
    <w:rsid w:val="00A37FEB"/>
    <w:rsid w:val="00A52E08"/>
    <w:rsid w:val="00A6265B"/>
    <w:rsid w:val="00AA0ED3"/>
    <w:rsid w:val="00AE77AE"/>
    <w:rsid w:val="00AE7D4D"/>
    <w:rsid w:val="00B03D05"/>
    <w:rsid w:val="00B07B0A"/>
    <w:rsid w:val="00B536C9"/>
    <w:rsid w:val="00B53AFB"/>
    <w:rsid w:val="00B567B6"/>
    <w:rsid w:val="00B774B4"/>
    <w:rsid w:val="00B92C39"/>
    <w:rsid w:val="00B940E7"/>
    <w:rsid w:val="00BB0A78"/>
    <w:rsid w:val="00BB0C1B"/>
    <w:rsid w:val="00BB1CB4"/>
    <w:rsid w:val="00BB7E34"/>
    <w:rsid w:val="00BC779E"/>
    <w:rsid w:val="00BE0380"/>
    <w:rsid w:val="00BF0434"/>
    <w:rsid w:val="00BF4937"/>
    <w:rsid w:val="00C159CF"/>
    <w:rsid w:val="00C362F5"/>
    <w:rsid w:val="00C57A3C"/>
    <w:rsid w:val="00C83C98"/>
    <w:rsid w:val="00C947EF"/>
    <w:rsid w:val="00CA12D8"/>
    <w:rsid w:val="00CB0E7C"/>
    <w:rsid w:val="00CB2C80"/>
    <w:rsid w:val="00CC16A9"/>
    <w:rsid w:val="00CC28AA"/>
    <w:rsid w:val="00CD4612"/>
    <w:rsid w:val="00CE0CCB"/>
    <w:rsid w:val="00CF3352"/>
    <w:rsid w:val="00CF748C"/>
    <w:rsid w:val="00D00A90"/>
    <w:rsid w:val="00D154F5"/>
    <w:rsid w:val="00D22EB6"/>
    <w:rsid w:val="00D31047"/>
    <w:rsid w:val="00D3305D"/>
    <w:rsid w:val="00D44B19"/>
    <w:rsid w:val="00D45A01"/>
    <w:rsid w:val="00D767E5"/>
    <w:rsid w:val="00D775D8"/>
    <w:rsid w:val="00D860B8"/>
    <w:rsid w:val="00DA0BDE"/>
    <w:rsid w:val="00DB7363"/>
    <w:rsid w:val="00DC6C99"/>
    <w:rsid w:val="00DC7671"/>
    <w:rsid w:val="00DE1C98"/>
    <w:rsid w:val="00DF044C"/>
    <w:rsid w:val="00DF6167"/>
    <w:rsid w:val="00E14F25"/>
    <w:rsid w:val="00E16C4E"/>
    <w:rsid w:val="00E17FEE"/>
    <w:rsid w:val="00E202A3"/>
    <w:rsid w:val="00E3426A"/>
    <w:rsid w:val="00E344F2"/>
    <w:rsid w:val="00E560DC"/>
    <w:rsid w:val="00E97A8A"/>
    <w:rsid w:val="00EA0B29"/>
    <w:rsid w:val="00EA0E74"/>
    <w:rsid w:val="00EA4C04"/>
    <w:rsid w:val="00EA4D54"/>
    <w:rsid w:val="00EE3102"/>
    <w:rsid w:val="00EF7244"/>
    <w:rsid w:val="00F01E42"/>
    <w:rsid w:val="00F043A4"/>
    <w:rsid w:val="00F21ABD"/>
    <w:rsid w:val="00F24407"/>
    <w:rsid w:val="00F30506"/>
    <w:rsid w:val="00F6749A"/>
    <w:rsid w:val="00F67B9B"/>
    <w:rsid w:val="00F929E7"/>
    <w:rsid w:val="00FA333B"/>
    <w:rsid w:val="00FB1AFA"/>
    <w:rsid w:val="00FB7EC6"/>
    <w:rsid w:val="00FE1BEC"/>
    <w:rsid w:val="00FE30F3"/>
    <w:rsid w:val="00FF2114"/>
    <w:rsid w:val="00FF24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05D218"/>
  <w15:chartTrackingRefBased/>
  <w15:docId w15:val="{EF127961-BF0A-4AAB-8D33-71D577735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1AA"/>
    <w:pPr>
      <w:spacing w:after="240" w:line="240" w:lineRule="auto"/>
      <w:jc w:val="both"/>
    </w:pPr>
  </w:style>
  <w:style w:type="paragraph" w:styleId="Heading1">
    <w:name w:val="heading 1"/>
    <w:next w:val="Indent1"/>
    <w:link w:val="Heading1Char"/>
    <w:qFormat/>
    <w:rsid w:val="0057149B"/>
    <w:pPr>
      <w:keepNext/>
      <w:keepLines/>
      <w:numPr>
        <w:numId w:val="3"/>
      </w:numPr>
      <w:spacing w:before="240" w:after="180" w:line="240" w:lineRule="auto"/>
      <w:outlineLvl w:val="0"/>
    </w:pPr>
    <w:rPr>
      <w:rFonts w:asciiTheme="majorHAnsi" w:eastAsiaTheme="majorEastAsia" w:hAnsiTheme="majorHAnsi" w:cstheme="majorBidi"/>
      <w:b/>
      <w:color w:val="313253" w:themeColor="accent5"/>
      <w:sz w:val="24"/>
      <w:szCs w:val="32"/>
      <w:lang w:val="en-US"/>
    </w:rPr>
  </w:style>
  <w:style w:type="paragraph" w:styleId="Heading2">
    <w:name w:val="heading 2"/>
    <w:basedOn w:val="Heading1"/>
    <w:next w:val="Indent2"/>
    <w:link w:val="Heading2Char"/>
    <w:uiPriority w:val="1"/>
    <w:unhideWhenUsed/>
    <w:qFormat/>
    <w:rsid w:val="0057149B"/>
    <w:pPr>
      <w:numPr>
        <w:ilvl w:val="1"/>
      </w:numPr>
      <w:outlineLvl w:val="1"/>
    </w:pPr>
    <w:rPr>
      <w:color w:val="C1A408" w:themeColor="accent4"/>
      <w:szCs w:val="26"/>
    </w:rPr>
  </w:style>
  <w:style w:type="paragraph" w:styleId="Heading3">
    <w:name w:val="heading 3"/>
    <w:basedOn w:val="Heading2"/>
    <w:next w:val="Indent2"/>
    <w:link w:val="Heading3Char"/>
    <w:uiPriority w:val="9"/>
    <w:unhideWhenUsed/>
    <w:qFormat/>
    <w:rsid w:val="0057149B"/>
    <w:pPr>
      <w:numPr>
        <w:ilvl w:val="2"/>
      </w:numPr>
      <w:outlineLvl w:val="2"/>
    </w:pPr>
    <w:rPr>
      <w:color w:val="6B6C6D" w:themeColor="accent3"/>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779E"/>
    <w:pPr>
      <w:tabs>
        <w:tab w:val="center" w:pos="4820"/>
        <w:tab w:val="right" w:pos="9673"/>
      </w:tabs>
    </w:pPr>
  </w:style>
  <w:style w:type="character" w:customStyle="1" w:styleId="HeaderChar">
    <w:name w:val="Header Char"/>
    <w:basedOn w:val="DefaultParagraphFont"/>
    <w:link w:val="Header"/>
    <w:uiPriority w:val="99"/>
    <w:rsid w:val="00BC779E"/>
  </w:style>
  <w:style w:type="paragraph" w:styleId="Footer">
    <w:name w:val="footer"/>
    <w:basedOn w:val="Normal"/>
    <w:link w:val="FooterChar"/>
    <w:uiPriority w:val="99"/>
    <w:unhideWhenUsed/>
    <w:rsid w:val="001E1B73"/>
    <w:pPr>
      <w:pBdr>
        <w:top w:val="single" w:sz="4" w:space="1" w:color="313253" w:themeColor="accent5"/>
      </w:pBdr>
      <w:tabs>
        <w:tab w:val="center" w:pos="4820"/>
        <w:tab w:val="right" w:pos="9715"/>
      </w:tabs>
      <w:jc w:val="right"/>
    </w:pPr>
    <w:rPr>
      <w:color w:val="313253" w:themeColor="accent5"/>
      <w:sz w:val="16"/>
    </w:rPr>
  </w:style>
  <w:style w:type="character" w:customStyle="1" w:styleId="FooterChar">
    <w:name w:val="Footer Char"/>
    <w:basedOn w:val="DefaultParagraphFont"/>
    <w:link w:val="Footer"/>
    <w:uiPriority w:val="99"/>
    <w:rsid w:val="001E1B73"/>
    <w:rPr>
      <w:color w:val="313253" w:themeColor="accent5"/>
      <w:sz w:val="16"/>
    </w:rPr>
  </w:style>
  <w:style w:type="character" w:styleId="Hyperlink">
    <w:name w:val="Hyperlink"/>
    <w:basedOn w:val="DefaultParagraphFont"/>
    <w:uiPriority w:val="99"/>
    <w:unhideWhenUsed/>
    <w:rsid w:val="00D767E5"/>
    <w:rPr>
      <w:color w:val="6B6C6D" w:themeColor="hyperlink"/>
      <w:u w:val="single"/>
    </w:rPr>
  </w:style>
  <w:style w:type="paragraph" w:customStyle="1" w:styleId="OurReference">
    <w:name w:val="OurReference"/>
    <w:basedOn w:val="Normal"/>
    <w:qFormat/>
    <w:rsid w:val="004458E3"/>
    <w:pPr>
      <w:tabs>
        <w:tab w:val="left" w:pos="7797"/>
      </w:tabs>
      <w:ind w:left="6915"/>
    </w:pPr>
    <w:rPr>
      <w:color w:val="313253" w:themeColor="accent5"/>
      <w:sz w:val="18"/>
      <w:szCs w:val="18"/>
    </w:rPr>
  </w:style>
  <w:style w:type="paragraph" w:customStyle="1" w:styleId="TOCHeading">
    <w:name w:val="_TOC Heading"/>
    <w:basedOn w:val="Normal"/>
    <w:next w:val="Normal"/>
    <w:qFormat/>
    <w:rsid w:val="00373D37"/>
    <w:rPr>
      <w:b/>
      <w:color w:val="313253" w:themeColor="accent5"/>
      <w:sz w:val="36"/>
      <w:szCs w:val="36"/>
    </w:rPr>
  </w:style>
  <w:style w:type="paragraph" w:styleId="TOC1">
    <w:name w:val="toc 1"/>
    <w:basedOn w:val="Normal"/>
    <w:next w:val="Normal"/>
    <w:uiPriority w:val="39"/>
    <w:unhideWhenUsed/>
    <w:rsid w:val="00373D37"/>
    <w:pPr>
      <w:tabs>
        <w:tab w:val="right" w:leader="dot" w:pos="9713"/>
      </w:tabs>
      <w:spacing w:after="100"/>
      <w:ind w:left="567" w:right="284" w:hanging="567"/>
    </w:pPr>
    <w:rPr>
      <w:noProof/>
    </w:rPr>
  </w:style>
  <w:style w:type="paragraph" w:styleId="TOC2">
    <w:name w:val="toc 2"/>
    <w:basedOn w:val="Normal"/>
    <w:next w:val="Normal"/>
    <w:uiPriority w:val="39"/>
    <w:unhideWhenUsed/>
    <w:rsid w:val="00373D37"/>
    <w:pPr>
      <w:tabs>
        <w:tab w:val="right" w:leader="dot" w:pos="9713"/>
      </w:tabs>
      <w:spacing w:after="100"/>
      <w:ind w:left="1134" w:right="284" w:hanging="567"/>
    </w:pPr>
    <w:rPr>
      <w:noProof/>
    </w:rPr>
  </w:style>
  <w:style w:type="character" w:customStyle="1" w:styleId="Heading1Char">
    <w:name w:val="Heading 1 Char"/>
    <w:basedOn w:val="DefaultParagraphFont"/>
    <w:link w:val="Heading1"/>
    <w:rsid w:val="0057149B"/>
    <w:rPr>
      <w:rFonts w:asciiTheme="majorHAnsi" w:eastAsiaTheme="majorEastAsia" w:hAnsiTheme="majorHAnsi" w:cstheme="majorBidi"/>
      <w:b/>
      <w:color w:val="313253" w:themeColor="accent5"/>
      <w:sz w:val="24"/>
      <w:szCs w:val="32"/>
      <w:lang w:val="en-US"/>
    </w:rPr>
  </w:style>
  <w:style w:type="character" w:customStyle="1" w:styleId="Heading2Char">
    <w:name w:val="Heading 2 Char"/>
    <w:basedOn w:val="DefaultParagraphFont"/>
    <w:link w:val="Heading2"/>
    <w:uiPriority w:val="1"/>
    <w:rsid w:val="0057149B"/>
    <w:rPr>
      <w:rFonts w:asciiTheme="majorHAnsi" w:eastAsiaTheme="majorEastAsia" w:hAnsiTheme="majorHAnsi" w:cstheme="majorBidi"/>
      <w:b/>
      <w:color w:val="C1A408" w:themeColor="accent4"/>
      <w:sz w:val="24"/>
      <w:szCs w:val="26"/>
      <w:lang w:val="en-US"/>
    </w:rPr>
  </w:style>
  <w:style w:type="numbering" w:customStyle="1" w:styleId="HeadingNumbers">
    <w:name w:val="Heading Numbers"/>
    <w:uiPriority w:val="99"/>
    <w:rsid w:val="007C620E"/>
    <w:pPr>
      <w:numPr>
        <w:numId w:val="1"/>
      </w:numPr>
    </w:pPr>
  </w:style>
  <w:style w:type="paragraph" w:customStyle="1" w:styleId="EMRCBulletText1">
    <w:name w:val="_EMRC Bullet Text 1"/>
    <w:basedOn w:val="Normal"/>
    <w:qFormat/>
    <w:rsid w:val="005A110D"/>
    <w:pPr>
      <w:numPr>
        <w:numId w:val="7"/>
      </w:numPr>
      <w:spacing w:after="120"/>
    </w:pPr>
  </w:style>
  <w:style w:type="numbering" w:customStyle="1" w:styleId="Bullets">
    <w:name w:val="Bullets"/>
    <w:uiPriority w:val="99"/>
    <w:rsid w:val="005A110D"/>
    <w:pPr>
      <w:numPr>
        <w:numId w:val="2"/>
      </w:numPr>
    </w:pPr>
  </w:style>
  <w:style w:type="paragraph" w:customStyle="1" w:styleId="EMRCBulletText2">
    <w:name w:val="_EMRC Bullet Text 2"/>
    <w:basedOn w:val="EMRCBulletText1"/>
    <w:qFormat/>
    <w:rsid w:val="005A110D"/>
    <w:pPr>
      <w:numPr>
        <w:ilvl w:val="1"/>
      </w:numPr>
    </w:pPr>
  </w:style>
  <w:style w:type="paragraph" w:customStyle="1" w:styleId="EMRCBulletText3">
    <w:name w:val="_EMRC Bullet Text 3"/>
    <w:basedOn w:val="EMRCBulletText2"/>
    <w:qFormat/>
    <w:rsid w:val="005A110D"/>
    <w:pPr>
      <w:numPr>
        <w:ilvl w:val="2"/>
      </w:numPr>
    </w:pPr>
  </w:style>
  <w:style w:type="character" w:styleId="Emphasis">
    <w:name w:val="Emphasis"/>
    <w:basedOn w:val="DefaultParagraphFont"/>
    <w:uiPriority w:val="20"/>
    <w:qFormat/>
    <w:rsid w:val="00BC779E"/>
    <w:rPr>
      <w:i/>
      <w:iCs/>
    </w:rPr>
  </w:style>
  <w:style w:type="character" w:customStyle="1" w:styleId="Heading3Char">
    <w:name w:val="Heading 3 Char"/>
    <w:basedOn w:val="DefaultParagraphFont"/>
    <w:link w:val="Heading3"/>
    <w:uiPriority w:val="9"/>
    <w:rsid w:val="0057149B"/>
    <w:rPr>
      <w:rFonts w:asciiTheme="majorHAnsi" w:eastAsiaTheme="majorEastAsia" w:hAnsiTheme="majorHAnsi" w:cstheme="majorBidi"/>
      <w:b/>
      <w:color w:val="6B6C6D" w:themeColor="accent3"/>
      <w:sz w:val="24"/>
      <w:szCs w:val="24"/>
      <w:lang w:val="en-US"/>
    </w:rPr>
  </w:style>
  <w:style w:type="paragraph" w:customStyle="1" w:styleId="1CoverPageEMRC">
    <w:name w:val="_1Cover Page EMRC"/>
    <w:basedOn w:val="Normal"/>
    <w:next w:val="2CoverPageDepartment"/>
    <w:qFormat/>
    <w:rsid w:val="00F01E42"/>
    <w:pPr>
      <w:spacing w:before="960"/>
      <w:jc w:val="center"/>
    </w:pPr>
    <w:rPr>
      <w:b/>
      <w:bCs/>
      <w:color w:val="313253" w:themeColor="accent5"/>
      <w:sz w:val="60"/>
      <w:szCs w:val="60"/>
    </w:rPr>
  </w:style>
  <w:style w:type="paragraph" w:customStyle="1" w:styleId="4CoverPageSubtitle">
    <w:name w:val="_4Cover Page Subtitle"/>
    <w:basedOn w:val="Normal"/>
    <w:next w:val="Normal"/>
    <w:qFormat/>
    <w:rsid w:val="00F01E42"/>
    <w:pPr>
      <w:spacing w:after="480"/>
      <w:jc w:val="center"/>
    </w:pPr>
    <w:rPr>
      <w:b/>
      <w:bCs/>
      <w:color w:val="313253" w:themeColor="accent5"/>
      <w:sz w:val="48"/>
      <w:szCs w:val="48"/>
    </w:rPr>
  </w:style>
  <w:style w:type="paragraph" w:customStyle="1" w:styleId="3CoverPageTitle">
    <w:name w:val="_3Cover Page Title"/>
    <w:basedOn w:val="Normal"/>
    <w:next w:val="4CoverPageSubtitle"/>
    <w:qFormat/>
    <w:rsid w:val="00F01E42"/>
    <w:pPr>
      <w:jc w:val="center"/>
    </w:pPr>
    <w:rPr>
      <w:b/>
      <w:bCs/>
      <w:color w:val="313253" w:themeColor="accent5"/>
      <w:sz w:val="72"/>
      <w:szCs w:val="72"/>
    </w:rPr>
  </w:style>
  <w:style w:type="paragraph" w:customStyle="1" w:styleId="2CoverPageDepartment">
    <w:name w:val="_2Cover Page Department"/>
    <w:basedOn w:val="Normal"/>
    <w:next w:val="3CoverPageTitle"/>
    <w:qFormat/>
    <w:rsid w:val="00F01E42"/>
    <w:pPr>
      <w:spacing w:after="360"/>
      <w:jc w:val="center"/>
    </w:pPr>
    <w:rPr>
      <w:b/>
      <w:bCs/>
      <w:color w:val="6B6C6D" w:themeColor="accent3"/>
      <w:sz w:val="48"/>
      <w:szCs w:val="48"/>
    </w:rPr>
  </w:style>
  <w:style w:type="paragraph" w:customStyle="1" w:styleId="ListShiresFooter">
    <w:name w:val="_List Shires Footer"/>
    <w:basedOn w:val="Normal"/>
    <w:qFormat/>
    <w:rsid w:val="00AE77AE"/>
    <w:pPr>
      <w:jc w:val="center"/>
    </w:pPr>
    <w:rPr>
      <w:rFonts w:ascii="Arial Narrow" w:hAnsi="Arial Narrow"/>
      <w:color w:val="6B6C6D" w:themeColor="accent3"/>
      <w:sz w:val="18"/>
      <w:szCs w:val="18"/>
    </w:rPr>
  </w:style>
  <w:style w:type="paragraph" w:customStyle="1" w:styleId="HeadingNoNumber">
    <w:name w:val="_Heading No Number"/>
    <w:next w:val="Normal"/>
    <w:qFormat/>
    <w:rsid w:val="00A6265B"/>
    <w:pPr>
      <w:spacing w:before="240" w:after="180" w:line="240" w:lineRule="auto"/>
    </w:pPr>
    <w:rPr>
      <w:rFonts w:asciiTheme="majorHAnsi" w:eastAsiaTheme="majorEastAsia" w:hAnsiTheme="majorHAnsi" w:cstheme="majorBidi"/>
      <w:b/>
      <w:color w:val="313253" w:themeColor="accent5"/>
      <w:sz w:val="24"/>
      <w:szCs w:val="32"/>
      <w:lang w:val="en-US"/>
    </w:rPr>
  </w:style>
  <w:style w:type="paragraph" w:customStyle="1" w:styleId="Indent1">
    <w:name w:val="_Indent 1"/>
    <w:basedOn w:val="Normal"/>
    <w:qFormat/>
    <w:rsid w:val="00C83C98"/>
    <w:pPr>
      <w:ind w:left="567"/>
    </w:pPr>
  </w:style>
  <w:style w:type="paragraph" w:customStyle="1" w:styleId="Indent2">
    <w:name w:val="_Indent 2"/>
    <w:basedOn w:val="Indent1"/>
    <w:qFormat/>
    <w:rsid w:val="00C83C98"/>
    <w:pPr>
      <w:ind w:left="1418"/>
    </w:pPr>
  </w:style>
  <w:style w:type="paragraph" w:customStyle="1" w:styleId="Indent1Bullet1">
    <w:name w:val="_Indent1Bullet1"/>
    <w:basedOn w:val="Normal"/>
    <w:qFormat/>
    <w:rsid w:val="00C83C98"/>
    <w:pPr>
      <w:numPr>
        <w:numId w:val="5"/>
      </w:numPr>
      <w:spacing w:after="120"/>
    </w:pPr>
  </w:style>
  <w:style w:type="paragraph" w:customStyle="1" w:styleId="Indent1Bullet2">
    <w:name w:val="_Indent1Bullet2"/>
    <w:basedOn w:val="Normal"/>
    <w:qFormat/>
    <w:rsid w:val="00C83C98"/>
    <w:pPr>
      <w:numPr>
        <w:ilvl w:val="1"/>
        <w:numId w:val="5"/>
      </w:numPr>
      <w:spacing w:after="120"/>
    </w:pPr>
  </w:style>
  <w:style w:type="paragraph" w:customStyle="1" w:styleId="Indent1Bullet3">
    <w:name w:val="_Indent1Bullet3"/>
    <w:basedOn w:val="Normal"/>
    <w:qFormat/>
    <w:rsid w:val="00C83C98"/>
    <w:pPr>
      <w:numPr>
        <w:ilvl w:val="2"/>
        <w:numId w:val="5"/>
      </w:numPr>
      <w:spacing w:after="120"/>
    </w:pPr>
  </w:style>
  <w:style w:type="numbering" w:customStyle="1" w:styleId="Indent1Bullets">
    <w:name w:val="Indent1Bullets"/>
    <w:uiPriority w:val="99"/>
    <w:rsid w:val="00C83C98"/>
    <w:pPr>
      <w:numPr>
        <w:numId w:val="4"/>
      </w:numPr>
    </w:pPr>
  </w:style>
  <w:style w:type="paragraph" w:styleId="TOC3">
    <w:name w:val="toc 3"/>
    <w:basedOn w:val="Normal"/>
    <w:next w:val="Normal"/>
    <w:uiPriority w:val="39"/>
    <w:unhideWhenUsed/>
    <w:rsid w:val="00373D37"/>
    <w:pPr>
      <w:tabs>
        <w:tab w:val="right" w:leader="dot" w:pos="9713"/>
      </w:tabs>
      <w:spacing w:after="100"/>
      <w:ind w:left="1134" w:right="284" w:hanging="567"/>
    </w:pPr>
  </w:style>
  <w:style w:type="table" w:styleId="TableGrid">
    <w:name w:val="Table Grid"/>
    <w:basedOn w:val="TableNormal"/>
    <w:uiPriority w:val="59"/>
    <w:rsid w:val="002E5A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NumberedParagraphs">
    <w:name w:val="Table Numbered Paragraphs"/>
    <w:uiPriority w:val="99"/>
    <w:rsid w:val="002E5AEC"/>
    <w:pPr>
      <w:numPr>
        <w:numId w:val="6"/>
      </w:numPr>
    </w:pPr>
  </w:style>
  <w:style w:type="paragraph" w:styleId="ListParagraph">
    <w:name w:val="List Paragraph"/>
    <w:basedOn w:val="Normal"/>
    <w:uiPriority w:val="34"/>
    <w:qFormat/>
    <w:rsid w:val="002E5AEC"/>
    <w:pPr>
      <w:spacing w:after="120"/>
    </w:pPr>
  </w:style>
  <w:style w:type="table" w:customStyle="1" w:styleId="EMRCReportTable">
    <w:name w:val="EMRC Report Table"/>
    <w:basedOn w:val="TableNormal"/>
    <w:uiPriority w:val="99"/>
    <w:rsid w:val="001327A2"/>
    <w:pPr>
      <w:spacing w:after="0" w:line="240" w:lineRule="auto"/>
    </w:pPr>
    <w:rPr>
      <w:sz w:val="18"/>
    </w:rPr>
    <w:tblPr/>
    <w:tcPr>
      <w:shd w:val="clear" w:color="auto" w:fill="auto"/>
    </w:tcPr>
    <w:tblStylePr w:type="firstRow">
      <w:pPr>
        <w:jc w:val="center"/>
      </w:pPr>
      <w:rPr>
        <w:rFonts w:ascii="Arial Narrow" w:hAnsi="Arial Narrow"/>
        <w:color w:val="C1A408" w:themeColor="accent4"/>
        <w:sz w:val="18"/>
      </w:rPr>
      <w:tblPr/>
      <w:tcPr>
        <w:shd w:val="clear" w:color="auto" w:fill="313253" w:themeFill="accent5"/>
      </w:tcPr>
    </w:tblStylePr>
    <w:tblStylePr w:type="lastRow">
      <w:rPr>
        <w:rFonts w:asciiTheme="minorHAnsi" w:hAnsiTheme="minorHAnsi"/>
        <w:sz w:val="18"/>
      </w:rPr>
    </w:tblStylePr>
  </w:style>
  <w:style w:type="paragraph" w:customStyle="1" w:styleId="RSMArialBody">
    <w:name w:val="RSM Arial Body"/>
    <w:basedOn w:val="Normal"/>
    <w:link w:val="RSMArialBodyChar"/>
    <w:autoRedefine/>
    <w:uiPriority w:val="99"/>
    <w:qFormat/>
    <w:rsid w:val="000026E1"/>
    <w:pPr>
      <w:keepLines/>
      <w:spacing w:before="120" w:after="120"/>
      <w:ind w:right="51"/>
      <w:outlineLvl w:val="4"/>
    </w:pPr>
    <w:rPr>
      <w:rFonts w:ascii="Arial" w:eastAsia="Times New Roman" w:hAnsi="Arial" w:cs="Interstate-Light"/>
      <w:color w:val="231F20"/>
      <w:spacing w:val="-12"/>
      <w:sz w:val="20"/>
      <w:szCs w:val="24"/>
    </w:rPr>
  </w:style>
  <w:style w:type="character" w:customStyle="1" w:styleId="RSMArialBodyChar">
    <w:name w:val="RSM Arial Body Char"/>
    <w:basedOn w:val="DefaultParagraphFont"/>
    <w:link w:val="RSMArialBody"/>
    <w:uiPriority w:val="99"/>
    <w:locked/>
    <w:rsid w:val="000026E1"/>
    <w:rPr>
      <w:rFonts w:ascii="Arial" w:eastAsia="Times New Roman" w:hAnsi="Arial" w:cs="Interstate-Light"/>
      <w:color w:val="231F20"/>
      <w:spacing w:val="-12"/>
      <w:sz w:val="20"/>
      <w:szCs w:val="24"/>
    </w:rPr>
  </w:style>
  <w:style w:type="paragraph" w:customStyle="1" w:styleId="Pa1">
    <w:name w:val="Pa1"/>
    <w:basedOn w:val="Normal"/>
    <w:next w:val="Normal"/>
    <w:uiPriority w:val="99"/>
    <w:rsid w:val="001951AA"/>
    <w:pPr>
      <w:autoSpaceDE w:val="0"/>
      <w:autoSpaceDN w:val="0"/>
      <w:adjustRightInd w:val="0"/>
      <w:spacing w:after="0" w:line="221" w:lineRule="atLeast"/>
      <w:jc w:val="left"/>
    </w:pPr>
    <w:rPr>
      <w:rFonts w:ascii="Helvetica 45 Light" w:hAnsi="Helvetica 45 Light"/>
      <w:sz w:val="24"/>
      <w:szCs w:val="24"/>
    </w:rPr>
  </w:style>
  <w:style w:type="paragraph" w:customStyle="1" w:styleId="CM100">
    <w:name w:val="CM100"/>
    <w:basedOn w:val="Normal"/>
    <w:next w:val="Normal"/>
    <w:rsid w:val="00356782"/>
    <w:pPr>
      <w:widowControl w:val="0"/>
      <w:autoSpaceDE w:val="0"/>
      <w:autoSpaceDN w:val="0"/>
      <w:adjustRightInd w:val="0"/>
      <w:spacing w:after="9205"/>
      <w:jc w:val="left"/>
    </w:pPr>
    <w:rPr>
      <w:rFonts w:ascii="Univers 55" w:eastAsia="Times New Roman" w:hAnsi="Univers 55" w:cs="Times New Roman"/>
      <w:sz w:val="24"/>
      <w:szCs w:val="24"/>
      <w:lang w:eastAsia="en-AU"/>
    </w:rPr>
  </w:style>
  <w:style w:type="paragraph" w:styleId="Revision">
    <w:name w:val="Revision"/>
    <w:hidden/>
    <w:uiPriority w:val="99"/>
    <w:semiHidden/>
    <w:rsid w:val="00C947E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841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diagramLayout" Target="diagrams/layout1.xml"/><Relationship Id="rId26" Type="http://schemas.openxmlformats.org/officeDocument/2006/relationships/footer" Target="footer7.xml"/><Relationship Id="rId3" Type="http://schemas.openxmlformats.org/officeDocument/2006/relationships/styles" Target="styles.xml"/><Relationship Id="rId21" Type="http://schemas.microsoft.com/office/2007/relationships/diagramDrawing" Target="diagrams/drawing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diagramData" Target="diagrams/data1.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diagramColors" Target="diagrams/colors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image" Target="media/image5.jpeg"/><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png"/><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3.jpg"/></Relationships>
</file>

<file path=word/_rels/header5.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emrc.org.au\DFS\DOCS\Templates\Office2019\EMRC%20Report%20Portrait%20GRADIENT.dotx" TargetMode="External"/></Relationships>
</file>

<file path=word/diagrams/colors1.xml><?xml version="1.0" encoding="utf-8"?>
<dgm:colorsDef xmlns:dgm="http://schemas.openxmlformats.org/drawingml/2006/diagram" xmlns:a="http://schemas.openxmlformats.org/drawingml/2006/main" uniqueId="urn:microsoft.com/office/officeart/2005/8/colors/colorful1#2">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6E9A9FB-FD07-4DD9-9DBB-CB6C5AECDAE9}" type="doc">
      <dgm:prSet loTypeId="urn:microsoft.com/office/officeart/2005/8/layout/cycle2" loCatId="cycle" qsTypeId="urn:microsoft.com/office/officeart/2005/8/quickstyle/simple1" qsCatId="simple" csTypeId="urn:microsoft.com/office/officeart/2005/8/colors/colorful1#2" csCatId="colorful" phldr="1"/>
      <dgm:spPr/>
      <dgm:t>
        <a:bodyPr/>
        <a:lstStyle/>
        <a:p>
          <a:endParaRPr lang="en-AU"/>
        </a:p>
      </dgm:t>
    </dgm:pt>
    <dgm:pt modelId="{0F5C8B67-6D2A-4BEE-8AB2-99826F688817}">
      <dgm:prSet phldrT="[Text]" custT="1"/>
      <dgm:spPr>
        <a:xfrm>
          <a:off x="3653736" y="871308"/>
          <a:ext cx="1059221" cy="986203"/>
        </a:xfrm>
        <a:solidFill>
          <a:srgbClr val="F9E26F"/>
        </a:solidFill>
        <a:ln w="25400" cap="flat" cmpd="sng" algn="ctr">
          <a:solidFill>
            <a:sysClr val="window" lastClr="FFFFFF">
              <a:hueOff val="0"/>
              <a:satOff val="0"/>
              <a:lumOff val="0"/>
              <a:alphaOff val="0"/>
            </a:sysClr>
          </a:solidFill>
          <a:prstDash val="solid"/>
        </a:ln>
        <a:effectLst/>
      </dgm:spPr>
      <dgm:t>
        <a:bodyPr/>
        <a:lstStyle/>
        <a:p>
          <a:r>
            <a:rPr lang="en-AU" sz="1000" dirty="0">
              <a:solidFill>
                <a:schemeClr val="tx1"/>
              </a:solidFill>
              <a:latin typeface="Calibri"/>
              <a:ea typeface="+mn-ea"/>
              <a:cs typeface="+mn-cs"/>
            </a:rPr>
            <a:t>Asset Acquisition</a:t>
          </a:r>
        </a:p>
      </dgm:t>
    </dgm:pt>
    <dgm:pt modelId="{CAF54F6E-0880-4506-8E7A-565D15C5C5C5}" type="parTrans" cxnId="{75689F86-541F-4FF2-9BE3-41DBF98661BD}">
      <dgm:prSet/>
      <dgm:spPr/>
      <dgm:t>
        <a:bodyPr/>
        <a:lstStyle/>
        <a:p>
          <a:endParaRPr lang="en-AU"/>
        </a:p>
      </dgm:t>
    </dgm:pt>
    <dgm:pt modelId="{CBD4D724-5A44-4367-98DC-14F7B9E3A95D}" type="sibTrans" cxnId="{75689F86-541F-4FF2-9BE3-41DBF98661BD}">
      <dgm:prSet/>
      <dgm:spPr>
        <a:xfrm rot="6480000">
          <a:off x="3827535" y="1895059"/>
          <a:ext cx="258637" cy="332843"/>
        </a:xfrm>
        <a:solidFill>
          <a:srgbClr val="F9E26F"/>
        </a:solidFill>
        <a:ln>
          <a:noFill/>
        </a:ln>
        <a:effectLst/>
      </dgm:spPr>
      <dgm:t>
        <a:bodyPr/>
        <a:lstStyle/>
        <a:p>
          <a:endParaRPr lang="en-AU">
            <a:solidFill>
              <a:sysClr val="window" lastClr="FFFFFF"/>
            </a:solidFill>
            <a:latin typeface="Calibri"/>
            <a:ea typeface="+mn-ea"/>
            <a:cs typeface="+mn-cs"/>
          </a:endParaRPr>
        </a:p>
      </dgm:t>
    </dgm:pt>
    <dgm:pt modelId="{142A9AA7-30FF-44F9-9791-BDCCBF259D92}">
      <dgm:prSet phldrT="[Text]" custT="1"/>
      <dgm:spPr>
        <a:xfrm>
          <a:off x="3174274" y="2280892"/>
          <a:ext cx="1102141" cy="986203"/>
        </a:xfrm>
        <a:solidFill>
          <a:srgbClr val="313253"/>
        </a:solidFill>
        <a:ln w="25400" cap="flat" cmpd="sng" algn="ctr">
          <a:solidFill>
            <a:sysClr val="window" lastClr="FFFFFF">
              <a:hueOff val="0"/>
              <a:satOff val="0"/>
              <a:lumOff val="0"/>
              <a:alphaOff val="0"/>
            </a:sysClr>
          </a:solidFill>
          <a:prstDash val="solid"/>
        </a:ln>
        <a:effectLst/>
      </dgm:spPr>
      <dgm:t>
        <a:bodyPr/>
        <a:lstStyle/>
        <a:p>
          <a:r>
            <a:rPr lang="en-AU" sz="1000" dirty="0">
              <a:solidFill>
                <a:sysClr val="window" lastClr="FFFFFF"/>
              </a:solidFill>
              <a:latin typeface="Calibri"/>
              <a:ea typeface="+mn-ea"/>
              <a:cs typeface="+mn-cs"/>
            </a:rPr>
            <a:t>Operations and Maintenance</a:t>
          </a:r>
        </a:p>
      </dgm:t>
    </dgm:pt>
    <dgm:pt modelId="{7C4906AB-BF12-4B49-97EF-3571514F0828}" type="parTrans" cxnId="{308D469B-199A-41F6-A759-85765375A08F}">
      <dgm:prSet/>
      <dgm:spPr/>
      <dgm:t>
        <a:bodyPr/>
        <a:lstStyle/>
        <a:p>
          <a:endParaRPr lang="en-AU"/>
        </a:p>
      </dgm:t>
    </dgm:pt>
    <dgm:pt modelId="{9EE1106A-C8BC-4CD1-81F1-8FAAAD5801D0}" type="sibTrans" cxnId="{308D469B-199A-41F6-A759-85765375A08F}">
      <dgm:prSet/>
      <dgm:spPr>
        <a:xfrm rot="10800000">
          <a:off x="2901598" y="2607572"/>
          <a:ext cx="192690" cy="332843"/>
        </a:xfrm>
        <a:solidFill>
          <a:srgbClr val="313253"/>
        </a:solidFill>
        <a:ln>
          <a:noFill/>
        </a:ln>
        <a:effectLst/>
      </dgm:spPr>
      <dgm:t>
        <a:bodyPr/>
        <a:lstStyle/>
        <a:p>
          <a:endParaRPr lang="en-AU">
            <a:solidFill>
              <a:sysClr val="window" lastClr="FFFFFF"/>
            </a:solidFill>
            <a:latin typeface="Calibri"/>
            <a:ea typeface="+mn-ea"/>
            <a:cs typeface="+mn-cs"/>
          </a:endParaRPr>
        </a:p>
      </dgm:t>
    </dgm:pt>
    <dgm:pt modelId="{D080AB35-DE3C-4C2A-A3AA-9EF18F0189B7}">
      <dgm:prSet phldrT="[Text]" custT="1"/>
      <dgm:spPr>
        <a:xfrm>
          <a:off x="1675734" y="2280892"/>
          <a:ext cx="1134972" cy="986203"/>
        </a:xfrm>
        <a:solidFill>
          <a:srgbClr val="7F7FB3"/>
        </a:solidFill>
        <a:ln w="25400" cap="flat" cmpd="sng" algn="ctr">
          <a:solidFill>
            <a:sysClr val="window" lastClr="FFFFFF">
              <a:hueOff val="0"/>
              <a:satOff val="0"/>
              <a:lumOff val="0"/>
              <a:alphaOff val="0"/>
            </a:sysClr>
          </a:solidFill>
          <a:prstDash val="solid"/>
        </a:ln>
        <a:effectLst/>
      </dgm:spPr>
      <dgm:t>
        <a:bodyPr/>
        <a:lstStyle/>
        <a:p>
          <a:r>
            <a:rPr lang="en-AU" sz="1000" dirty="0">
              <a:solidFill>
                <a:sysClr val="window" lastClr="FFFFFF"/>
              </a:solidFill>
              <a:latin typeface="Calibri"/>
              <a:ea typeface="+mn-ea"/>
              <a:cs typeface="+mn-cs"/>
            </a:rPr>
            <a:t>Disposal and Destruction</a:t>
          </a:r>
        </a:p>
      </dgm:t>
    </dgm:pt>
    <dgm:pt modelId="{9D5C9844-7FB5-4D29-8DEF-0CEF54E04B56}" type="parTrans" cxnId="{91426B6A-D048-4278-92D9-4F4957C66ADE}">
      <dgm:prSet/>
      <dgm:spPr/>
      <dgm:t>
        <a:bodyPr/>
        <a:lstStyle/>
        <a:p>
          <a:endParaRPr lang="en-AU"/>
        </a:p>
      </dgm:t>
    </dgm:pt>
    <dgm:pt modelId="{33B41BFC-B833-4E2B-80C9-BED64167833F}" type="sibTrans" cxnId="{91426B6A-D048-4278-92D9-4F4957C66ADE}">
      <dgm:prSet/>
      <dgm:spPr>
        <a:xfrm rot="15120000">
          <a:off x="1887888" y="1909389"/>
          <a:ext cx="256958" cy="332843"/>
        </a:xfrm>
        <a:solidFill>
          <a:srgbClr val="7F7FB3"/>
        </a:solidFill>
        <a:ln>
          <a:noFill/>
        </a:ln>
        <a:effectLst/>
      </dgm:spPr>
      <dgm:t>
        <a:bodyPr/>
        <a:lstStyle/>
        <a:p>
          <a:endParaRPr lang="en-AU">
            <a:solidFill>
              <a:sysClr val="window" lastClr="FFFFFF"/>
            </a:solidFill>
            <a:latin typeface="Calibri"/>
            <a:ea typeface="+mn-ea"/>
            <a:cs typeface="+mn-cs"/>
          </a:endParaRPr>
        </a:p>
      </dgm:t>
    </dgm:pt>
    <dgm:pt modelId="{F46BD7A0-B1B2-477D-B8DF-8F18C0B3EF2D}">
      <dgm:prSet phldrT="[Text]" custT="1"/>
      <dgm:spPr>
        <a:xfrm>
          <a:off x="2435786" y="137"/>
          <a:ext cx="1096993" cy="986203"/>
        </a:xfrm>
        <a:solidFill>
          <a:srgbClr val="C1A408"/>
        </a:solidFill>
        <a:ln w="25400" cap="flat" cmpd="sng" algn="ctr">
          <a:solidFill>
            <a:sysClr val="window" lastClr="FFFFFF">
              <a:hueOff val="0"/>
              <a:satOff val="0"/>
              <a:lumOff val="0"/>
              <a:alphaOff val="0"/>
            </a:sysClr>
          </a:solidFill>
          <a:prstDash val="solid"/>
        </a:ln>
        <a:effectLst/>
      </dgm:spPr>
      <dgm:t>
        <a:bodyPr/>
        <a:lstStyle/>
        <a:p>
          <a:r>
            <a:rPr lang="en-AU" sz="1000" dirty="0">
              <a:solidFill>
                <a:schemeClr val="tx1"/>
              </a:solidFill>
              <a:latin typeface="Calibri"/>
              <a:ea typeface="+mn-ea"/>
              <a:cs typeface="+mn-cs"/>
            </a:rPr>
            <a:t>Strategic and Operational Planning </a:t>
          </a:r>
        </a:p>
      </dgm:t>
    </dgm:pt>
    <dgm:pt modelId="{6F2F255D-B3C9-430F-8D50-3DF3EAE469AA}" type="sibTrans" cxnId="{C4AA6C7C-CC6E-42BE-8F51-DFDC655E5778}">
      <dgm:prSet/>
      <dgm:spPr>
        <a:xfrm rot="2160000">
          <a:off x="3466764" y="761829"/>
          <a:ext cx="232521" cy="332843"/>
        </a:xfrm>
        <a:solidFill>
          <a:srgbClr val="C1A408"/>
        </a:solidFill>
        <a:ln>
          <a:noFill/>
        </a:ln>
        <a:effectLst/>
      </dgm:spPr>
      <dgm:t>
        <a:bodyPr/>
        <a:lstStyle/>
        <a:p>
          <a:endParaRPr lang="en-AU">
            <a:solidFill>
              <a:sysClr val="window" lastClr="FFFFFF"/>
            </a:solidFill>
            <a:latin typeface="Calibri"/>
            <a:ea typeface="+mn-ea"/>
            <a:cs typeface="+mn-cs"/>
          </a:endParaRPr>
        </a:p>
      </dgm:t>
    </dgm:pt>
    <dgm:pt modelId="{A210A327-2FC2-4FE4-AD16-7CD0E2281FFD}" type="parTrans" cxnId="{C4AA6C7C-CC6E-42BE-8F51-DFDC655E5778}">
      <dgm:prSet/>
      <dgm:spPr/>
      <dgm:t>
        <a:bodyPr/>
        <a:lstStyle/>
        <a:p>
          <a:endParaRPr lang="en-AU"/>
        </a:p>
      </dgm:t>
    </dgm:pt>
    <dgm:pt modelId="{286BF824-D5DA-4837-AE5F-C0D94027E364}">
      <dgm:prSet custT="1"/>
      <dgm:spPr>
        <a:xfrm>
          <a:off x="1227467" y="871308"/>
          <a:ext cx="1115504" cy="986203"/>
        </a:xfrm>
        <a:solidFill>
          <a:srgbClr val="D8D8E8"/>
        </a:solidFill>
        <a:ln w="25400" cap="flat" cmpd="sng" algn="ctr">
          <a:solidFill>
            <a:sysClr val="window" lastClr="FFFFFF">
              <a:hueOff val="0"/>
              <a:satOff val="0"/>
              <a:lumOff val="0"/>
              <a:alphaOff val="0"/>
            </a:sysClr>
          </a:solidFill>
          <a:prstDash val="solid"/>
        </a:ln>
        <a:effectLst/>
      </dgm:spPr>
      <dgm:t>
        <a:bodyPr/>
        <a:lstStyle/>
        <a:p>
          <a:r>
            <a:rPr lang="en-AU" sz="1000" dirty="0">
              <a:solidFill>
                <a:schemeClr val="tx1"/>
              </a:solidFill>
              <a:latin typeface="Calibri"/>
              <a:ea typeface="+mn-ea"/>
              <a:cs typeface="+mn-cs"/>
            </a:rPr>
            <a:t>Post Life Cycle Analysis</a:t>
          </a:r>
        </a:p>
      </dgm:t>
    </dgm:pt>
    <dgm:pt modelId="{50F85173-07BE-42F8-AD2E-C06CF5FE0C4C}" type="parTrans" cxnId="{BFD179A9-0DE8-42F2-89BC-9D0CCBD19367}">
      <dgm:prSet/>
      <dgm:spPr/>
      <dgm:t>
        <a:bodyPr/>
        <a:lstStyle/>
        <a:p>
          <a:endParaRPr lang="en-AU"/>
        </a:p>
      </dgm:t>
    </dgm:pt>
    <dgm:pt modelId="{A0A1964D-4088-41FB-9A2E-233931972474}" type="sibTrans" cxnId="{BFD179A9-0DE8-42F2-89BC-9D0CCBD19367}">
      <dgm:prSet/>
      <dgm:spPr>
        <a:xfrm rot="19440000">
          <a:off x="2269905" y="764559"/>
          <a:ext cx="223756" cy="332843"/>
        </a:xfrm>
        <a:solidFill>
          <a:srgbClr val="D8D8E8"/>
        </a:solidFill>
        <a:ln>
          <a:noFill/>
        </a:ln>
        <a:effectLst/>
      </dgm:spPr>
      <dgm:t>
        <a:bodyPr/>
        <a:lstStyle/>
        <a:p>
          <a:endParaRPr lang="en-AU">
            <a:solidFill>
              <a:sysClr val="window" lastClr="FFFFFF"/>
            </a:solidFill>
            <a:latin typeface="Calibri"/>
            <a:ea typeface="+mn-ea"/>
            <a:cs typeface="+mn-cs"/>
          </a:endParaRPr>
        </a:p>
      </dgm:t>
    </dgm:pt>
    <dgm:pt modelId="{B20E3511-10C6-4849-822E-F1F683B7BE5E}" type="pres">
      <dgm:prSet presAssocID="{C6E9A9FB-FD07-4DD9-9DBB-CB6C5AECDAE9}" presName="cycle" presStyleCnt="0">
        <dgm:presLayoutVars>
          <dgm:dir/>
          <dgm:resizeHandles val="exact"/>
        </dgm:presLayoutVars>
      </dgm:prSet>
      <dgm:spPr/>
    </dgm:pt>
    <dgm:pt modelId="{4EFDE301-8359-472E-B500-2482570A23D9}" type="pres">
      <dgm:prSet presAssocID="{F46BD7A0-B1B2-477D-B8DF-8F18C0B3EF2D}" presName="node" presStyleLbl="node1" presStyleIdx="0" presStyleCnt="5" custScaleX="111234" custRadScaleRad="100011">
        <dgm:presLayoutVars>
          <dgm:bulletEnabled val="1"/>
        </dgm:presLayoutVars>
      </dgm:prSet>
      <dgm:spPr>
        <a:prstGeom prst="ellipse">
          <a:avLst/>
        </a:prstGeom>
      </dgm:spPr>
    </dgm:pt>
    <dgm:pt modelId="{5BFD772F-E3C6-42AD-A6A7-519A843A9F83}" type="pres">
      <dgm:prSet presAssocID="{6F2F255D-B3C9-430F-8D50-3DF3EAE469AA}" presName="sibTrans" presStyleLbl="sibTrans2D1" presStyleIdx="0" presStyleCnt="5"/>
      <dgm:spPr>
        <a:prstGeom prst="rightArrow">
          <a:avLst>
            <a:gd name="adj1" fmla="val 60000"/>
            <a:gd name="adj2" fmla="val 50000"/>
          </a:avLst>
        </a:prstGeom>
      </dgm:spPr>
    </dgm:pt>
    <dgm:pt modelId="{70414672-7BED-42D0-9742-3A22D16689DF}" type="pres">
      <dgm:prSet presAssocID="{6F2F255D-B3C9-430F-8D50-3DF3EAE469AA}" presName="connectorText" presStyleLbl="sibTrans2D1" presStyleIdx="0" presStyleCnt="5"/>
      <dgm:spPr/>
    </dgm:pt>
    <dgm:pt modelId="{BC3DBF58-E260-4144-99F0-012D6E22643C}" type="pres">
      <dgm:prSet presAssocID="{0F5C8B67-6D2A-4BEE-8AB2-99826F688817}" presName="node" presStyleLbl="node1" presStyleIdx="1" presStyleCnt="5" custScaleX="107404">
        <dgm:presLayoutVars>
          <dgm:bulletEnabled val="1"/>
        </dgm:presLayoutVars>
      </dgm:prSet>
      <dgm:spPr>
        <a:prstGeom prst="ellipse">
          <a:avLst/>
        </a:prstGeom>
      </dgm:spPr>
    </dgm:pt>
    <dgm:pt modelId="{0DC6892C-F97F-4A8B-AE09-0584F270CA67}" type="pres">
      <dgm:prSet presAssocID="{CBD4D724-5A44-4367-98DC-14F7B9E3A95D}" presName="sibTrans" presStyleLbl="sibTrans2D1" presStyleIdx="1" presStyleCnt="5"/>
      <dgm:spPr>
        <a:prstGeom prst="rightArrow">
          <a:avLst>
            <a:gd name="adj1" fmla="val 60000"/>
            <a:gd name="adj2" fmla="val 50000"/>
          </a:avLst>
        </a:prstGeom>
      </dgm:spPr>
    </dgm:pt>
    <dgm:pt modelId="{B1EFA50A-6853-43BE-A4BB-B3FC6F072369}" type="pres">
      <dgm:prSet presAssocID="{CBD4D724-5A44-4367-98DC-14F7B9E3A95D}" presName="connectorText" presStyleLbl="sibTrans2D1" presStyleIdx="1" presStyleCnt="5"/>
      <dgm:spPr/>
    </dgm:pt>
    <dgm:pt modelId="{30EED3D8-0CF2-4270-965E-359AE8AE1D0D}" type="pres">
      <dgm:prSet presAssocID="{142A9AA7-30FF-44F9-9791-BDCCBF259D92}" presName="node" presStyleLbl="node1" presStyleIdx="2" presStyleCnt="5" custScaleX="111756">
        <dgm:presLayoutVars>
          <dgm:bulletEnabled val="1"/>
        </dgm:presLayoutVars>
      </dgm:prSet>
      <dgm:spPr>
        <a:prstGeom prst="ellipse">
          <a:avLst/>
        </a:prstGeom>
      </dgm:spPr>
    </dgm:pt>
    <dgm:pt modelId="{DE8E19D6-5D7B-4A37-9E2F-FD676AD9AA5C}" type="pres">
      <dgm:prSet presAssocID="{9EE1106A-C8BC-4CD1-81F1-8FAAAD5801D0}" presName="sibTrans" presStyleLbl="sibTrans2D1" presStyleIdx="2" presStyleCnt="5"/>
      <dgm:spPr>
        <a:prstGeom prst="rightArrow">
          <a:avLst>
            <a:gd name="adj1" fmla="val 60000"/>
            <a:gd name="adj2" fmla="val 50000"/>
          </a:avLst>
        </a:prstGeom>
      </dgm:spPr>
    </dgm:pt>
    <dgm:pt modelId="{4AC89A8E-1645-41BF-A3D5-836D2834972E}" type="pres">
      <dgm:prSet presAssocID="{9EE1106A-C8BC-4CD1-81F1-8FAAAD5801D0}" presName="connectorText" presStyleLbl="sibTrans2D1" presStyleIdx="2" presStyleCnt="5"/>
      <dgm:spPr/>
    </dgm:pt>
    <dgm:pt modelId="{0D4B64D9-3F57-4D8B-8C7B-39739BF631B8}" type="pres">
      <dgm:prSet presAssocID="{D080AB35-DE3C-4C2A-A3AA-9EF18F0189B7}" presName="node" presStyleLbl="node1" presStyleIdx="3" presStyleCnt="5" custScaleX="115085">
        <dgm:presLayoutVars>
          <dgm:bulletEnabled val="1"/>
        </dgm:presLayoutVars>
      </dgm:prSet>
      <dgm:spPr>
        <a:prstGeom prst="ellipse">
          <a:avLst/>
        </a:prstGeom>
      </dgm:spPr>
    </dgm:pt>
    <dgm:pt modelId="{581B3683-6CAF-4102-B11A-7A51C242D99A}" type="pres">
      <dgm:prSet presAssocID="{33B41BFC-B833-4E2B-80C9-BED64167833F}" presName="sibTrans" presStyleLbl="sibTrans2D1" presStyleIdx="3" presStyleCnt="5"/>
      <dgm:spPr>
        <a:prstGeom prst="rightArrow">
          <a:avLst>
            <a:gd name="adj1" fmla="val 60000"/>
            <a:gd name="adj2" fmla="val 50000"/>
          </a:avLst>
        </a:prstGeom>
      </dgm:spPr>
    </dgm:pt>
    <dgm:pt modelId="{266C698A-94CB-4490-B491-454338985B82}" type="pres">
      <dgm:prSet presAssocID="{33B41BFC-B833-4E2B-80C9-BED64167833F}" presName="connectorText" presStyleLbl="sibTrans2D1" presStyleIdx="3" presStyleCnt="5"/>
      <dgm:spPr/>
    </dgm:pt>
    <dgm:pt modelId="{10B7383C-263F-41AD-97C0-CA0CB60F42FC}" type="pres">
      <dgm:prSet presAssocID="{286BF824-D5DA-4837-AE5F-C0D94027E364}" presName="node" presStyleLbl="node1" presStyleIdx="4" presStyleCnt="5" custScaleX="113111">
        <dgm:presLayoutVars>
          <dgm:bulletEnabled val="1"/>
        </dgm:presLayoutVars>
      </dgm:prSet>
      <dgm:spPr>
        <a:prstGeom prst="ellipse">
          <a:avLst/>
        </a:prstGeom>
      </dgm:spPr>
    </dgm:pt>
    <dgm:pt modelId="{63CA4929-D168-4C36-AA42-C48B30E9C7DB}" type="pres">
      <dgm:prSet presAssocID="{A0A1964D-4088-41FB-9A2E-233931972474}" presName="sibTrans" presStyleLbl="sibTrans2D1" presStyleIdx="4" presStyleCnt="5"/>
      <dgm:spPr>
        <a:prstGeom prst="rightArrow">
          <a:avLst>
            <a:gd name="adj1" fmla="val 60000"/>
            <a:gd name="adj2" fmla="val 50000"/>
          </a:avLst>
        </a:prstGeom>
      </dgm:spPr>
    </dgm:pt>
    <dgm:pt modelId="{ED2E6328-DDCA-49D4-B1C7-FB03A54673C1}" type="pres">
      <dgm:prSet presAssocID="{A0A1964D-4088-41FB-9A2E-233931972474}" presName="connectorText" presStyleLbl="sibTrans2D1" presStyleIdx="4" presStyleCnt="5"/>
      <dgm:spPr/>
    </dgm:pt>
  </dgm:ptLst>
  <dgm:cxnLst>
    <dgm:cxn modelId="{EE30A703-4BED-4134-9484-B2D2871AABCE}" type="presOf" srcId="{286BF824-D5DA-4837-AE5F-C0D94027E364}" destId="{10B7383C-263F-41AD-97C0-CA0CB60F42FC}" srcOrd="0" destOrd="0" presId="urn:microsoft.com/office/officeart/2005/8/layout/cycle2"/>
    <dgm:cxn modelId="{0E70B407-0F92-42C0-B806-1679442A0B64}" type="presOf" srcId="{33B41BFC-B833-4E2B-80C9-BED64167833F}" destId="{266C698A-94CB-4490-B491-454338985B82}" srcOrd="1" destOrd="0" presId="urn:microsoft.com/office/officeart/2005/8/layout/cycle2"/>
    <dgm:cxn modelId="{6D7A0308-76A2-4CB7-9C01-58D3FEA0FD38}" type="presOf" srcId="{F46BD7A0-B1B2-477D-B8DF-8F18C0B3EF2D}" destId="{4EFDE301-8359-472E-B500-2482570A23D9}" srcOrd="0" destOrd="0" presId="urn:microsoft.com/office/officeart/2005/8/layout/cycle2"/>
    <dgm:cxn modelId="{D190F81A-1CAF-4B3C-9746-A60897D98CC0}" type="presOf" srcId="{33B41BFC-B833-4E2B-80C9-BED64167833F}" destId="{581B3683-6CAF-4102-B11A-7A51C242D99A}" srcOrd="0" destOrd="0" presId="urn:microsoft.com/office/officeart/2005/8/layout/cycle2"/>
    <dgm:cxn modelId="{8F7E361F-52C8-457A-A746-B3E39DF61055}" type="presOf" srcId="{CBD4D724-5A44-4367-98DC-14F7B9E3A95D}" destId="{B1EFA50A-6853-43BE-A4BB-B3FC6F072369}" srcOrd="1" destOrd="0" presId="urn:microsoft.com/office/officeart/2005/8/layout/cycle2"/>
    <dgm:cxn modelId="{747BA32F-8AFA-449B-906E-1119EFD2F16B}" type="presOf" srcId="{CBD4D724-5A44-4367-98DC-14F7B9E3A95D}" destId="{0DC6892C-F97F-4A8B-AE09-0584F270CA67}" srcOrd="0" destOrd="0" presId="urn:microsoft.com/office/officeart/2005/8/layout/cycle2"/>
    <dgm:cxn modelId="{1A7E4033-2276-42C0-A64C-5669E16CC979}" type="presOf" srcId="{0F5C8B67-6D2A-4BEE-8AB2-99826F688817}" destId="{BC3DBF58-E260-4144-99F0-012D6E22643C}" srcOrd="0" destOrd="0" presId="urn:microsoft.com/office/officeart/2005/8/layout/cycle2"/>
    <dgm:cxn modelId="{D90B693A-F820-4098-B622-F462960FF5D8}" type="presOf" srcId="{D080AB35-DE3C-4C2A-A3AA-9EF18F0189B7}" destId="{0D4B64D9-3F57-4D8B-8C7B-39739BF631B8}" srcOrd="0" destOrd="0" presId="urn:microsoft.com/office/officeart/2005/8/layout/cycle2"/>
    <dgm:cxn modelId="{E3733442-2783-4CC4-8465-006FAC4F1F7E}" type="presOf" srcId="{9EE1106A-C8BC-4CD1-81F1-8FAAAD5801D0}" destId="{DE8E19D6-5D7B-4A37-9E2F-FD676AD9AA5C}" srcOrd="0" destOrd="0" presId="urn:microsoft.com/office/officeart/2005/8/layout/cycle2"/>
    <dgm:cxn modelId="{4DC50547-28AB-4159-8166-18AB9C65F260}" type="presOf" srcId="{C6E9A9FB-FD07-4DD9-9DBB-CB6C5AECDAE9}" destId="{B20E3511-10C6-4849-822E-F1F683B7BE5E}" srcOrd="0" destOrd="0" presId="urn:microsoft.com/office/officeart/2005/8/layout/cycle2"/>
    <dgm:cxn modelId="{91426B6A-D048-4278-92D9-4F4957C66ADE}" srcId="{C6E9A9FB-FD07-4DD9-9DBB-CB6C5AECDAE9}" destId="{D080AB35-DE3C-4C2A-A3AA-9EF18F0189B7}" srcOrd="3" destOrd="0" parTransId="{9D5C9844-7FB5-4D29-8DEF-0CEF54E04B56}" sibTransId="{33B41BFC-B833-4E2B-80C9-BED64167833F}"/>
    <dgm:cxn modelId="{15D8474E-7979-4440-920E-079D76139617}" type="presOf" srcId="{6F2F255D-B3C9-430F-8D50-3DF3EAE469AA}" destId="{5BFD772F-E3C6-42AD-A6A7-519A843A9F83}" srcOrd="0" destOrd="0" presId="urn:microsoft.com/office/officeart/2005/8/layout/cycle2"/>
    <dgm:cxn modelId="{A752C952-BE42-4032-81B1-943C017F293C}" type="presOf" srcId="{6F2F255D-B3C9-430F-8D50-3DF3EAE469AA}" destId="{70414672-7BED-42D0-9742-3A22D16689DF}" srcOrd="1" destOrd="0" presId="urn:microsoft.com/office/officeart/2005/8/layout/cycle2"/>
    <dgm:cxn modelId="{E2A8405A-E869-44CE-A02E-4DEE82A84602}" type="presOf" srcId="{A0A1964D-4088-41FB-9A2E-233931972474}" destId="{ED2E6328-DDCA-49D4-B1C7-FB03A54673C1}" srcOrd="1" destOrd="0" presId="urn:microsoft.com/office/officeart/2005/8/layout/cycle2"/>
    <dgm:cxn modelId="{C4AA6C7C-CC6E-42BE-8F51-DFDC655E5778}" srcId="{C6E9A9FB-FD07-4DD9-9DBB-CB6C5AECDAE9}" destId="{F46BD7A0-B1B2-477D-B8DF-8F18C0B3EF2D}" srcOrd="0" destOrd="0" parTransId="{A210A327-2FC2-4FE4-AD16-7CD0E2281FFD}" sibTransId="{6F2F255D-B3C9-430F-8D50-3DF3EAE469AA}"/>
    <dgm:cxn modelId="{75689F86-541F-4FF2-9BE3-41DBF98661BD}" srcId="{C6E9A9FB-FD07-4DD9-9DBB-CB6C5AECDAE9}" destId="{0F5C8B67-6D2A-4BEE-8AB2-99826F688817}" srcOrd="1" destOrd="0" parTransId="{CAF54F6E-0880-4506-8E7A-565D15C5C5C5}" sibTransId="{CBD4D724-5A44-4367-98DC-14F7B9E3A95D}"/>
    <dgm:cxn modelId="{93693C88-BE55-47B1-AB0C-B1EC7477DF68}" type="presOf" srcId="{A0A1964D-4088-41FB-9A2E-233931972474}" destId="{63CA4929-D168-4C36-AA42-C48B30E9C7DB}" srcOrd="0" destOrd="0" presId="urn:microsoft.com/office/officeart/2005/8/layout/cycle2"/>
    <dgm:cxn modelId="{308D469B-199A-41F6-A759-85765375A08F}" srcId="{C6E9A9FB-FD07-4DD9-9DBB-CB6C5AECDAE9}" destId="{142A9AA7-30FF-44F9-9791-BDCCBF259D92}" srcOrd="2" destOrd="0" parTransId="{7C4906AB-BF12-4B49-97EF-3571514F0828}" sibTransId="{9EE1106A-C8BC-4CD1-81F1-8FAAAD5801D0}"/>
    <dgm:cxn modelId="{BFD179A9-0DE8-42F2-89BC-9D0CCBD19367}" srcId="{C6E9A9FB-FD07-4DD9-9DBB-CB6C5AECDAE9}" destId="{286BF824-D5DA-4837-AE5F-C0D94027E364}" srcOrd="4" destOrd="0" parTransId="{50F85173-07BE-42F8-AD2E-C06CF5FE0C4C}" sibTransId="{A0A1964D-4088-41FB-9A2E-233931972474}"/>
    <dgm:cxn modelId="{CA69B0B3-9C7F-445B-850E-4C549C02329F}" type="presOf" srcId="{142A9AA7-30FF-44F9-9791-BDCCBF259D92}" destId="{30EED3D8-0CF2-4270-965E-359AE8AE1D0D}" srcOrd="0" destOrd="0" presId="urn:microsoft.com/office/officeart/2005/8/layout/cycle2"/>
    <dgm:cxn modelId="{2BA1AE9F-8654-44DB-96E8-C319679C704A}" type="presOf" srcId="{9EE1106A-C8BC-4CD1-81F1-8FAAAD5801D0}" destId="{4AC89A8E-1645-41BF-A3D5-836D2834972E}" srcOrd="1" destOrd="0" presId="urn:microsoft.com/office/officeart/2005/8/layout/cycle2"/>
    <dgm:cxn modelId="{C5A21AFE-3F24-4C5C-BF75-80F0637C1C44}" type="presParOf" srcId="{B20E3511-10C6-4849-822E-F1F683B7BE5E}" destId="{4EFDE301-8359-472E-B500-2482570A23D9}" srcOrd="0" destOrd="0" presId="urn:microsoft.com/office/officeart/2005/8/layout/cycle2"/>
    <dgm:cxn modelId="{1EE87D48-4477-4E21-B1A0-237E459CCB27}" type="presParOf" srcId="{B20E3511-10C6-4849-822E-F1F683B7BE5E}" destId="{5BFD772F-E3C6-42AD-A6A7-519A843A9F83}" srcOrd="1" destOrd="0" presId="urn:microsoft.com/office/officeart/2005/8/layout/cycle2"/>
    <dgm:cxn modelId="{087CDE37-D35B-4BD4-8464-512DA844A509}" type="presParOf" srcId="{5BFD772F-E3C6-42AD-A6A7-519A843A9F83}" destId="{70414672-7BED-42D0-9742-3A22D16689DF}" srcOrd="0" destOrd="0" presId="urn:microsoft.com/office/officeart/2005/8/layout/cycle2"/>
    <dgm:cxn modelId="{84D16586-2196-474E-85AB-114A1D09D2CE}" type="presParOf" srcId="{B20E3511-10C6-4849-822E-F1F683B7BE5E}" destId="{BC3DBF58-E260-4144-99F0-012D6E22643C}" srcOrd="2" destOrd="0" presId="urn:microsoft.com/office/officeart/2005/8/layout/cycle2"/>
    <dgm:cxn modelId="{8ECFC074-340F-4E71-865B-0CE914F44C8C}" type="presParOf" srcId="{B20E3511-10C6-4849-822E-F1F683B7BE5E}" destId="{0DC6892C-F97F-4A8B-AE09-0584F270CA67}" srcOrd="3" destOrd="0" presId="urn:microsoft.com/office/officeart/2005/8/layout/cycle2"/>
    <dgm:cxn modelId="{EA7ED1E7-7A8E-4296-8E13-078237D854B1}" type="presParOf" srcId="{0DC6892C-F97F-4A8B-AE09-0584F270CA67}" destId="{B1EFA50A-6853-43BE-A4BB-B3FC6F072369}" srcOrd="0" destOrd="0" presId="urn:microsoft.com/office/officeart/2005/8/layout/cycle2"/>
    <dgm:cxn modelId="{E092A5F2-2F03-4FEB-93D3-45A96D31EA03}" type="presParOf" srcId="{B20E3511-10C6-4849-822E-F1F683B7BE5E}" destId="{30EED3D8-0CF2-4270-965E-359AE8AE1D0D}" srcOrd="4" destOrd="0" presId="urn:microsoft.com/office/officeart/2005/8/layout/cycle2"/>
    <dgm:cxn modelId="{B544CE01-05E4-4903-AD96-46A4CB5227B5}" type="presParOf" srcId="{B20E3511-10C6-4849-822E-F1F683B7BE5E}" destId="{DE8E19D6-5D7B-4A37-9E2F-FD676AD9AA5C}" srcOrd="5" destOrd="0" presId="urn:microsoft.com/office/officeart/2005/8/layout/cycle2"/>
    <dgm:cxn modelId="{5B18B04D-6983-4920-91C7-F7545AC7DA7E}" type="presParOf" srcId="{DE8E19D6-5D7B-4A37-9E2F-FD676AD9AA5C}" destId="{4AC89A8E-1645-41BF-A3D5-836D2834972E}" srcOrd="0" destOrd="0" presId="urn:microsoft.com/office/officeart/2005/8/layout/cycle2"/>
    <dgm:cxn modelId="{7FCBCA58-1858-4BF0-BC45-EC9304A7310D}" type="presParOf" srcId="{B20E3511-10C6-4849-822E-F1F683B7BE5E}" destId="{0D4B64D9-3F57-4D8B-8C7B-39739BF631B8}" srcOrd="6" destOrd="0" presId="urn:microsoft.com/office/officeart/2005/8/layout/cycle2"/>
    <dgm:cxn modelId="{9D86B758-4EE6-4B45-8334-40B0582C9BF2}" type="presParOf" srcId="{B20E3511-10C6-4849-822E-F1F683B7BE5E}" destId="{581B3683-6CAF-4102-B11A-7A51C242D99A}" srcOrd="7" destOrd="0" presId="urn:microsoft.com/office/officeart/2005/8/layout/cycle2"/>
    <dgm:cxn modelId="{E06372E1-BAA1-4EE7-BA6F-EF6220C5AEA3}" type="presParOf" srcId="{581B3683-6CAF-4102-B11A-7A51C242D99A}" destId="{266C698A-94CB-4490-B491-454338985B82}" srcOrd="0" destOrd="0" presId="urn:microsoft.com/office/officeart/2005/8/layout/cycle2"/>
    <dgm:cxn modelId="{FD48BA3E-0F62-4302-B26D-877B466BCDD9}" type="presParOf" srcId="{B20E3511-10C6-4849-822E-F1F683B7BE5E}" destId="{10B7383C-263F-41AD-97C0-CA0CB60F42FC}" srcOrd="8" destOrd="0" presId="urn:microsoft.com/office/officeart/2005/8/layout/cycle2"/>
    <dgm:cxn modelId="{885B256A-C666-4F1D-A531-27B8347B0874}" type="presParOf" srcId="{B20E3511-10C6-4849-822E-F1F683B7BE5E}" destId="{63CA4929-D168-4C36-AA42-C48B30E9C7DB}" srcOrd="9" destOrd="0" presId="urn:microsoft.com/office/officeart/2005/8/layout/cycle2"/>
    <dgm:cxn modelId="{EEBA6766-406C-4E85-9219-3C72C901EC62}" type="presParOf" srcId="{63CA4929-D168-4C36-AA42-C48B30E9C7DB}" destId="{ED2E6328-DDCA-49D4-B1C7-FB03A54673C1}" srcOrd="0" destOrd="0" presId="urn:microsoft.com/office/officeart/2005/8/layout/cycle2"/>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FDE301-8359-472E-B500-2482570A23D9}">
      <dsp:nvSpPr>
        <dsp:cNvPr id="0" name=""/>
        <dsp:cNvSpPr/>
      </dsp:nvSpPr>
      <dsp:spPr>
        <a:xfrm>
          <a:off x="2435786" y="0"/>
          <a:ext cx="1096993" cy="986203"/>
        </a:xfrm>
        <a:prstGeom prst="ellipse">
          <a:avLst/>
        </a:prstGeom>
        <a:solidFill>
          <a:srgbClr val="C1A408"/>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AU" sz="1000" kern="1200" dirty="0">
              <a:solidFill>
                <a:schemeClr val="tx1"/>
              </a:solidFill>
              <a:latin typeface="Calibri"/>
              <a:ea typeface="+mn-ea"/>
              <a:cs typeface="+mn-cs"/>
            </a:rPr>
            <a:t>Strategic and Operational Planning </a:t>
          </a:r>
        </a:p>
      </dsp:txBody>
      <dsp:txXfrm>
        <a:off x="2596437" y="144426"/>
        <a:ext cx="775691" cy="697351"/>
      </dsp:txXfrm>
    </dsp:sp>
    <dsp:sp modelId="{5BFD772F-E3C6-42AD-A6A7-519A843A9F83}">
      <dsp:nvSpPr>
        <dsp:cNvPr id="0" name=""/>
        <dsp:cNvSpPr/>
      </dsp:nvSpPr>
      <dsp:spPr>
        <a:xfrm rot="2160259">
          <a:off x="3466739" y="761759"/>
          <a:ext cx="232568" cy="332843"/>
        </a:xfrm>
        <a:prstGeom prst="rightArrow">
          <a:avLst>
            <a:gd name="adj1" fmla="val 60000"/>
            <a:gd name="adj2" fmla="val 50000"/>
          </a:avLst>
        </a:prstGeom>
        <a:solidFill>
          <a:srgbClr val="C1A408"/>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AU" sz="1400" kern="1200">
            <a:solidFill>
              <a:sysClr val="window" lastClr="FFFFFF"/>
            </a:solidFill>
            <a:latin typeface="Calibri"/>
            <a:ea typeface="+mn-ea"/>
            <a:cs typeface="+mn-cs"/>
          </a:endParaRPr>
        </a:p>
      </dsp:txBody>
      <dsp:txXfrm>
        <a:off x="3473403" y="807821"/>
        <a:ext cx="162798" cy="199705"/>
      </dsp:txXfrm>
    </dsp:sp>
    <dsp:sp modelId="{BC3DBF58-E260-4144-99F0-012D6E22643C}">
      <dsp:nvSpPr>
        <dsp:cNvPr id="0" name=""/>
        <dsp:cNvSpPr/>
      </dsp:nvSpPr>
      <dsp:spPr>
        <a:xfrm>
          <a:off x="3653736" y="871308"/>
          <a:ext cx="1059221" cy="986203"/>
        </a:xfrm>
        <a:prstGeom prst="ellipse">
          <a:avLst/>
        </a:prstGeom>
        <a:solidFill>
          <a:srgbClr val="F9E26F"/>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AU" sz="1000" kern="1200" dirty="0">
              <a:solidFill>
                <a:schemeClr val="tx1"/>
              </a:solidFill>
              <a:latin typeface="Calibri"/>
              <a:ea typeface="+mn-ea"/>
              <a:cs typeface="+mn-cs"/>
            </a:rPr>
            <a:t>Asset Acquisition</a:t>
          </a:r>
        </a:p>
      </dsp:txBody>
      <dsp:txXfrm>
        <a:off x="3808855" y="1015734"/>
        <a:ext cx="748983" cy="697351"/>
      </dsp:txXfrm>
    </dsp:sp>
    <dsp:sp modelId="{0DC6892C-F97F-4A8B-AE09-0584F270CA67}">
      <dsp:nvSpPr>
        <dsp:cNvPr id="0" name=""/>
        <dsp:cNvSpPr/>
      </dsp:nvSpPr>
      <dsp:spPr>
        <a:xfrm rot="6480000">
          <a:off x="3827535" y="1895059"/>
          <a:ext cx="258637" cy="332843"/>
        </a:xfrm>
        <a:prstGeom prst="rightArrow">
          <a:avLst>
            <a:gd name="adj1" fmla="val 60000"/>
            <a:gd name="adj2" fmla="val 50000"/>
          </a:avLst>
        </a:prstGeom>
        <a:solidFill>
          <a:srgbClr val="F9E26F"/>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AU" sz="1400" kern="1200">
            <a:solidFill>
              <a:sysClr val="window" lastClr="FFFFFF"/>
            </a:solidFill>
            <a:latin typeface="Calibri"/>
            <a:ea typeface="+mn-ea"/>
            <a:cs typeface="+mn-cs"/>
          </a:endParaRPr>
        </a:p>
      </dsp:txBody>
      <dsp:txXfrm rot="10800000">
        <a:off x="3878319" y="1924731"/>
        <a:ext cx="181046" cy="199705"/>
      </dsp:txXfrm>
    </dsp:sp>
    <dsp:sp modelId="{30EED3D8-0CF2-4270-965E-359AE8AE1D0D}">
      <dsp:nvSpPr>
        <dsp:cNvPr id="0" name=""/>
        <dsp:cNvSpPr/>
      </dsp:nvSpPr>
      <dsp:spPr>
        <a:xfrm>
          <a:off x="3174274" y="2280892"/>
          <a:ext cx="1102141" cy="986203"/>
        </a:xfrm>
        <a:prstGeom prst="ellipse">
          <a:avLst/>
        </a:prstGeom>
        <a:solidFill>
          <a:srgbClr val="313253"/>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AU" sz="1000" kern="1200" dirty="0">
              <a:solidFill>
                <a:sysClr val="window" lastClr="FFFFFF"/>
              </a:solidFill>
              <a:latin typeface="Calibri"/>
              <a:ea typeface="+mn-ea"/>
              <a:cs typeface="+mn-cs"/>
            </a:rPr>
            <a:t>Operations and Maintenance</a:t>
          </a:r>
        </a:p>
      </dsp:txBody>
      <dsp:txXfrm>
        <a:off x="3335679" y="2425318"/>
        <a:ext cx="779331" cy="697351"/>
      </dsp:txXfrm>
    </dsp:sp>
    <dsp:sp modelId="{DE8E19D6-5D7B-4A37-9E2F-FD676AD9AA5C}">
      <dsp:nvSpPr>
        <dsp:cNvPr id="0" name=""/>
        <dsp:cNvSpPr/>
      </dsp:nvSpPr>
      <dsp:spPr>
        <a:xfrm rot="10800000">
          <a:off x="2901598" y="2607572"/>
          <a:ext cx="192690" cy="332843"/>
        </a:xfrm>
        <a:prstGeom prst="rightArrow">
          <a:avLst>
            <a:gd name="adj1" fmla="val 60000"/>
            <a:gd name="adj2" fmla="val 50000"/>
          </a:avLst>
        </a:prstGeom>
        <a:solidFill>
          <a:srgbClr val="313253"/>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AU" sz="1400" kern="1200">
            <a:solidFill>
              <a:sysClr val="window" lastClr="FFFFFF"/>
            </a:solidFill>
            <a:latin typeface="Calibri"/>
            <a:ea typeface="+mn-ea"/>
            <a:cs typeface="+mn-cs"/>
          </a:endParaRPr>
        </a:p>
      </dsp:txBody>
      <dsp:txXfrm rot="10800000">
        <a:off x="2959405" y="2674141"/>
        <a:ext cx="134883" cy="199705"/>
      </dsp:txXfrm>
    </dsp:sp>
    <dsp:sp modelId="{0D4B64D9-3F57-4D8B-8C7B-39739BF631B8}">
      <dsp:nvSpPr>
        <dsp:cNvPr id="0" name=""/>
        <dsp:cNvSpPr/>
      </dsp:nvSpPr>
      <dsp:spPr>
        <a:xfrm>
          <a:off x="1675734" y="2280892"/>
          <a:ext cx="1134972" cy="986203"/>
        </a:xfrm>
        <a:prstGeom prst="ellipse">
          <a:avLst/>
        </a:prstGeom>
        <a:solidFill>
          <a:srgbClr val="7F7FB3"/>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AU" sz="1000" kern="1200" dirty="0">
              <a:solidFill>
                <a:sysClr val="window" lastClr="FFFFFF"/>
              </a:solidFill>
              <a:latin typeface="Calibri"/>
              <a:ea typeface="+mn-ea"/>
              <a:cs typeface="+mn-cs"/>
            </a:rPr>
            <a:t>Disposal and Destruction</a:t>
          </a:r>
        </a:p>
      </dsp:txBody>
      <dsp:txXfrm>
        <a:off x="1841947" y="2425318"/>
        <a:ext cx="802546" cy="697351"/>
      </dsp:txXfrm>
    </dsp:sp>
    <dsp:sp modelId="{581B3683-6CAF-4102-B11A-7A51C242D99A}">
      <dsp:nvSpPr>
        <dsp:cNvPr id="0" name=""/>
        <dsp:cNvSpPr/>
      </dsp:nvSpPr>
      <dsp:spPr>
        <a:xfrm rot="15120000">
          <a:off x="1887888" y="1909389"/>
          <a:ext cx="256958" cy="332843"/>
        </a:xfrm>
        <a:prstGeom prst="rightArrow">
          <a:avLst>
            <a:gd name="adj1" fmla="val 60000"/>
            <a:gd name="adj2" fmla="val 50000"/>
          </a:avLst>
        </a:prstGeom>
        <a:solidFill>
          <a:srgbClr val="7F7FB3"/>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AU" sz="1400" kern="1200">
            <a:solidFill>
              <a:sysClr val="window" lastClr="FFFFFF"/>
            </a:solidFill>
            <a:latin typeface="Calibri"/>
            <a:ea typeface="+mn-ea"/>
            <a:cs typeface="+mn-cs"/>
          </a:endParaRPr>
        </a:p>
      </dsp:txBody>
      <dsp:txXfrm rot="10800000">
        <a:off x="1938342" y="2012615"/>
        <a:ext cx="179871" cy="199705"/>
      </dsp:txXfrm>
    </dsp:sp>
    <dsp:sp modelId="{10B7383C-263F-41AD-97C0-CA0CB60F42FC}">
      <dsp:nvSpPr>
        <dsp:cNvPr id="0" name=""/>
        <dsp:cNvSpPr/>
      </dsp:nvSpPr>
      <dsp:spPr>
        <a:xfrm>
          <a:off x="1227467" y="871308"/>
          <a:ext cx="1115504" cy="986203"/>
        </a:xfrm>
        <a:prstGeom prst="ellipse">
          <a:avLst/>
        </a:prstGeom>
        <a:solidFill>
          <a:srgbClr val="D8D8E8"/>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AU" sz="1000" kern="1200" dirty="0">
              <a:solidFill>
                <a:schemeClr val="tx1"/>
              </a:solidFill>
              <a:latin typeface="Calibri"/>
              <a:ea typeface="+mn-ea"/>
              <a:cs typeface="+mn-cs"/>
            </a:rPr>
            <a:t>Post Life Cycle Analysis</a:t>
          </a:r>
        </a:p>
      </dsp:txBody>
      <dsp:txXfrm>
        <a:off x="1390829" y="1015734"/>
        <a:ext cx="788780" cy="697351"/>
      </dsp:txXfrm>
    </dsp:sp>
    <dsp:sp modelId="{63CA4929-D168-4C36-AA42-C48B30E9C7DB}">
      <dsp:nvSpPr>
        <dsp:cNvPr id="0" name=""/>
        <dsp:cNvSpPr/>
      </dsp:nvSpPr>
      <dsp:spPr>
        <a:xfrm rot="19439741">
          <a:off x="2269880" y="764491"/>
          <a:ext cx="223804" cy="332843"/>
        </a:xfrm>
        <a:prstGeom prst="rightArrow">
          <a:avLst>
            <a:gd name="adj1" fmla="val 60000"/>
            <a:gd name="adj2" fmla="val 50000"/>
          </a:avLst>
        </a:prstGeom>
        <a:solidFill>
          <a:srgbClr val="D8D8E8"/>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AU" sz="1400" kern="1200">
            <a:solidFill>
              <a:sysClr val="window" lastClr="FFFFFF"/>
            </a:solidFill>
            <a:latin typeface="Calibri"/>
            <a:ea typeface="+mn-ea"/>
            <a:cs typeface="+mn-cs"/>
          </a:endParaRPr>
        </a:p>
      </dsp:txBody>
      <dsp:txXfrm>
        <a:off x="2276293" y="850794"/>
        <a:ext cx="156663" cy="199705"/>
      </dsp:txXfrm>
    </dsp:sp>
  </dsp:spTree>
</dsp:drawing>
</file>

<file path=word/diagrams/layout1.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EMRC">
  <a:themeElements>
    <a:clrScheme name="EMRC">
      <a:dk1>
        <a:sysClr val="windowText" lastClr="000000"/>
      </a:dk1>
      <a:lt1>
        <a:sysClr val="window" lastClr="FFFFFF"/>
      </a:lt1>
      <a:dk2>
        <a:srgbClr val="44546A"/>
      </a:dk2>
      <a:lt2>
        <a:srgbClr val="E7E6E6"/>
      </a:lt2>
      <a:accent1>
        <a:srgbClr val="C00000"/>
      </a:accent1>
      <a:accent2>
        <a:srgbClr val="F68B32"/>
      </a:accent2>
      <a:accent3>
        <a:srgbClr val="6B6C6D"/>
      </a:accent3>
      <a:accent4>
        <a:srgbClr val="C1A408"/>
      </a:accent4>
      <a:accent5>
        <a:srgbClr val="313253"/>
      </a:accent5>
      <a:accent6>
        <a:srgbClr val="76923C"/>
      </a:accent6>
      <a:hlink>
        <a:srgbClr val="6B6C6D"/>
      </a:hlink>
      <a:folHlink>
        <a:srgbClr val="6B6C6D"/>
      </a:folHlink>
    </a:clrScheme>
    <a:fontScheme name="EMRC">
      <a:majorFont>
        <a:latin typeface="Arial Narrow"/>
        <a:ea typeface=""/>
        <a:cs typeface=""/>
      </a:majorFont>
      <a:minorFont>
        <a:latin typeface="Arial Narrow"/>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81DE17-03E2-472A-A8DA-AEBD23796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EMRC Report Portrait GRADIENT.dotx</Template>
  <TotalTime>48</TotalTime>
  <Pages>15</Pages>
  <Words>3115</Words>
  <Characters>17757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Eastern Metropolitan Regional Council</Company>
  <LinksUpToDate>false</LinksUpToDate>
  <CharactersWithSpaces>20831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Kasa Nakhonthat</dc:creator>
  <cp:keywords/>
  <dc:description/>
  <cp:lastModifiedBy>Kasa Nakhonthat</cp:lastModifiedBy>
  <cp:revision>12</cp:revision>
  <cp:lastPrinted>2020-09-08T13:37:00Z</cp:lastPrinted>
  <dcterms:created xsi:type="dcterms:W3CDTF">2026-08-31T05:18:00Z</dcterms:created>
  <dcterms:modified xsi:type="dcterms:W3CDTF">2026-08-31T06:45:00Z</dcterms:modified>
</cp:coreProperties>
</file>